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80" w:lineRule="auto"/>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附件7：</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bookmarkStart w:id="0" w:name="_Hlk70355250"/>
      <w:r>
        <w:rPr>
          <w:rFonts w:hint="eastAsia" w:ascii="方正小标宋_GBK" w:hAnsi="华文中宋" w:eastAsia="方正小标宋_GBK" w:cs="宋体"/>
          <w:b/>
          <w:kern w:val="0"/>
          <w:sz w:val="48"/>
          <w:szCs w:val="48"/>
        </w:rPr>
        <w:t>伊犁州</w:t>
      </w:r>
      <w:r>
        <w:rPr>
          <w:rFonts w:hint="eastAsia" w:ascii="方正小标宋_GBK" w:hAnsi="华文中宋" w:eastAsia="方正小标宋_GBK" w:cs="宋体"/>
          <w:b/>
          <w:kern w:val="0"/>
          <w:sz w:val="48"/>
          <w:szCs w:val="48"/>
          <w:lang w:val="en-US" w:eastAsia="zh-CN"/>
        </w:rPr>
        <w:t>特克斯县接待处</w:t>
      </w:r>
      <w:r>
        <w:rPr>
          <w:rFonts w:hint="eastAsia" w:ascii="方正小标宋_GBK" w:hAnsi="华文中宋" w:eastAsia="方正小标宋_GBK" w:cs="宋体"/>
          <w:b/>
          <w:kern w:val="0"/>
          <w:sz w:val="48"/>
          <w:szCs w:val="48"/>
        </w:rPr>
        <w:t>部门单位整体支出绩效自评报告</w:t>
      </w:r>
    </w:p>
    <w:bookmarkEnd w:id="0"/>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Ansi="宋体" w:eastAsia="仿宋_GB2312" w:cs="宋体"/>
          <w:kern w:val="0"/>
          <w:sz w:val="36"/>
          <w:szCs w:val="36"/>
        </w:rPr>
        <w:t>2021</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849" w:firstLineChars="236"/>
        <w:jc w:val="left"/>
        <w:rPr>
          <w:rFonts w:hint="eastAsia" w:hAnsi="宋体" w:eastAsia="仿宋_GB2312" w:cs="宋体"/>
          <w:kern w:val="0"/>
          <w:sz w:val="36"/>
          <w:szCs w:val="36"/>
          <w:lang w:val="en-US" w:eastAsia="zh-CN"/>
        </w:rPr>
      </w:pPr>
      <w:r>
        <w:rPr>
          <w:rFonts w:hint="eastAsia" w:hAnsi="宋体" w:eastAsia="仿宋_GB2312" w:cs="宋体"/>
          <w:kern w:val="0"/>
          <w:sz w:val="36"/>
          <w:szCs w:val="36"/>
        </w:rPr>
        <w:t>部门单位名称（公章）：</w:t>
      </w:r>
      <w:r>
        <w:rPr>
          <w:rFonts w:hint="eastAsia" w:hAnsi="宋体" w:eastAsia="仿宋_GB2312" w:cs="宋体"/>
          <w:kern w:val="0"/>
          <w:sz w:val="36"/>
          <w:szCs w:val="36"/>
          <w:lang w:val="en-US" w:eastAsia="zh-CN"/>
        </w:rPr>
        <w:t>特克斯县接待处</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w:t>
      </w:r>
      <w:r>
        <w:rPr>
          <w:rFonts w:hAnsi="宋体" w:eastAsia="仿宋_GB2312" w:cs="宋体"/>
          <w:kern w:val="0"/>
          <w:sz w:val="36"/>
          <w:szCs w:val="36"/>
        </w:rPr>
        <w:t>2022</w:t>
      </w:r>
      <w:r>
        <w:rPr>
          <w:rFonts w:hint="eastAsia" w:hAnsi="宋体" w:eastAsia="仿宋_GB2312" w:cs="宋体"/>
          <w:kern w:val="0"/>
          <w:sz w:val="36"/>
          <w:szCs w:val="36"/>
        </w:rPr>
        <w:t xml:space="preserve"> 年</w:t>
      </w:r>
      <w:r>
        <w:rPr>
          <w:rFonts w:hint="eastAsia" w:hAnsi="宋体" w:eastAsia="仿宋_GB2312" w:cs="宋体"/>
          <w:kern w:val="0"/>
          <w:sz w:val="36"/>
          <w:szCs w:val="36"/>
          <w:lang w:val="en-US" w:eastAsia="zh-CN"/>
        </w:rPr>
        <w:t>4</w:t>
      </w:r>
      <w:r>
        <w:rPr>
          <w:rFonts w:hint="eastAsia" w:hAnsi="宋体" w:eastAsia="仿宋_GB2312" w:cs="宋体"/>
          <w:kern w:val="0"/>
          <w:sz w:val="36"/>
          <w:szCs w:val="36"/>
        </w:rPr>
        <w:t>月</w:t>
      </w:r>
      <w:r>
        <w:rPr>
          <w:rFonts w:hint="eastAsia" w:hAnsi="宋体" w:eastAsia="仿宋_GB2312" w:cs="宋体"/>
          <w:kern w:val="0"/>
          <w:sz w:val="36"/>
          <w:szCs w:val="36"/>
          <w:lang w:val="en-US" w:eastAsia="zh-CN"/>
        </w:rPr>
        <w:t>22</w:t>
      </w:r>
      <w:r>
        <w:rPr>
          <w:rFonts w:hint="eastAsia" w:hAnsi="宋体" w:eastAsia="仿宋_GB2312" w:cs="宋体"/>
          <w:kern w:val="0"/>
          <w:sz w:val="36"/>
          <w:szCs w:val="36"/>
        </w:rPr>
        <w:t>日</w:t>
      </w:r>
    </w:p>
    <w:p>
      <w:pPr>
        <w:pStyle w:val="3"/>
        <w:spacing w:line="360" w:lineRule="auto"/>
        <w:rPr>
          <w:rFonts w:ascii="仿宋" w:hAnsi="仿宋" w:eastAsia="仿宋"/>
          <w:sz w:val="36"/>
          <w:szCs w:val="36"/>
          <w:lang w:bidi="ar"/>
        </w:rPr>
      </w:pPr>
      <w:bookmarkStart w:id="1" w:name="_Toc70450289"/>
      <w:r>
        <w:rPr>
          <w:rFonts w:hint="eastAsia" w:ascii="仿宋" w:hAnsi="仿宋" w:eastAsia="仿宋"/>
          <w:sz w:val="36"/>
          <w:szCs w:val="36"/>
          <w:lang w:bidi="ar"/>
        </w:rPr>
        <w:t>一、基本概况</w:t>
      </w:r>
      <w:bookmarkEnd w:id="1"/>
    </w:p>
    <w:p>
      <w:pPr>
        <w:pStyle w:val="4"/>
        <w:spacing w:line="360" w:lineRule="auto"/>
        <w:rPr>
          <w:rStyle w:val="16"/>
          <w:rFonts w:ascii="仿宋" w:hAnsi="仿宋" w:eastAsia="仿宋"/>
          <w:b/>
          <w:bCs/>
        </w:rPr>
      </w:pPr>
      <w:bookmarkStart w:id="2" w:name="_Toc70450290"/>
      <w:r>
        <w:rPr>
          <w:rStyle w:val="16"/>
          <w:rFonts w:hint="eastAsia" w:ascii="仿宋" w:hAnsi="仿宋" w:eastAsia="仿宋"/>
          <w:b/>
          <w:bCs/>
        </w:rPr>
        <w:t>（一）部门单位基本情况</w:t>
      </w:r>
      <w:bookmarkEnd w:id="2"/>
    </w:p>
    <w:p>
      <w:pPr>
        <w:pStyle w:val="5"/>
        <w:spacing w:line="360" w:lineRule="auto"/>
        <w:ind w:firstLine="562" w:firstLineChars="200"/>
        <w:rPr>
          <w:rStyle w:val="16"/>
          <w:rFonts w:hint="eastAsia" w:ascii="仿宋" w:hAnsi="仿宋" w:eastAsia="仿宋"/>
          <w:b/>
          <w:bCs/>
        </w:rPr>
      </w:pPr>
      <w:bookmarkStart w:id="3" w:name="_Toc70450291"/>
      <w:r>
        <w:rPr>
          <w:rStyle w:val="16"/>
          <w:rFonts w:ascii="仿宋" w:hAnsi="仿宋" w:eastAsia="仿宋"/>
          <w:b/>
          <w:bCs/>
        </w:rPr>
        <w:t>1</w:t>
      </w:r>
      <w:r>
        <w:rPr>
          <w:rStyle w:val="16"/>
          <w:rFonts w:hint="eastAsia" w:ascii="仿宋" w:hAnsi="仿宋" w:eastAsia="仿宋"/>
          <w:b/>
          <w:bCs/>
        </w:rPr>
        <w:t>、主要职能</w:t>
      </w:r>
      <w:bookmarkEnd w:id="3"/>
    </w:p>
    <w:p>
      <w:pPr>
        <w:pStyle w:val="5"/>
        <w:spacing w:line="360" w:lineRule="auto"/>
        <w:ind w:firstLine="544" w:firstLineChars="200"/>
        <w:rPr>
          <w:rStyle w:val="16"/>
          <w:rFonts w:hint="eastAsia" w:ascii="仿宋_GB2312" w:hAnsi="楷体" w:eastAsia="仿宋_GB2312" w:cstheme="minorBidi"/>
          <w:b w:val="0"/>
          <w:bCs/>
          <w:spacing w:val="-4"/>
          <w:kern w:val="2"/>
          <w:sz w:val="28"/>
          <w:szCs w:val="28"/>
          <w:lang w:val="en-US" w:eastAsia="zh-CN" w:bidi="ar-SA"/>
        </w:rPr>
      </w:pPr>
      <w:r>
        <w:rPr>
          <w:rStyle w:val="16"/>
          <w:rFonts w:hint="eastAsia" w:ascii="仿宋_GB2312" w:hAnsi="楷体" w:eastAsia="仿宋_GB2312" w:cstheme="minorBidi"/>
          <w:b w:val="0"/>
          <w:bCs/>
          <w:spacing w:val="-4"/>
          <w:kern w:val="2"/>
          <w:sz w:val="28"/>
          <w:szCs w:val="28"/>
          <w:lang w:val="en-US" w:eastAsia="zh-CN" w:bidi="ar-SA"/>
        </w:rPr>
        <w:t>(1）贯彻落实政府及有关接待工作的原则、要求，研究接待工作的规定和办法，并督促指导各乡镇场、县直单位部门落实。(2）负责上级领导来我县视察、调研、会务的接待工作，负责各地、州代表团、考察团的接待工作。（3）协助县委、政府做好全县性会议、活动、调研的接待工作。（4）负责接待业务经费的预算、申报、结算和管理使用工作（5）承办县委、政府交办的其他工作。</w:t>
      </w:r>
      <w:bookmarkStart w:id="4" w:name="_Toc70450292"/>
    </w:p>
    <w:p>
      <w:pPr>
        <w:pStyle w:val="5"/>
        <w:spacing w:line="360" w:lineRule="auto"/>
        <w:ind w:firstLine="562" w:firstLineChars="200"/>
        <w:rPr>
          <w:rStyle w:val="16"/>
          <w:rFonts w:hint="eastAsia" w:ascii="仿宋" w:hAnsi="仿宋" w:eastAsia="仿宋"/>
          <w:b/>
          <w:bCs/>
          <w:lang w:val="en-US" w:eastAsia="zh-CN"/>
        </w:rPr>
      </w:pPr>
      <w:r>
        <w:rPr>
          <w:rStyle w:val="16"/>
          <w:rFonts w:hint="eastAsia" w:ascii="仿宋" w:hAnsi="仿宋" w:eastAsia="仿宋"/>
          <w:b/>
          <w:bCs/>
        </w:rPr>
        <w:t>2、机构人员构</w:t>
      </w:r>
      <w:bookmarkEnd w:id="4"/>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（1）组织机构设置：</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lang w:val="en-US" w:eastAsia="zh-CN"/>
        </w:rPr>
        <w:t>特克斯县接待处</w:t>
      </w:r>
      <w:r>
        <w:rPr>
          <w:rStyle w:val="16"/>
          <w:rFonts w:hint="eastAsia" w:ascii="仿宋_GB2312" w:hAnsi="楷体" w:eastAsia="仿宋_GB2312"/>
          <w:b w:val="0"/>
          <w:spacing w:val="-4"/>
          <w:sz w:val="28"/>
          <w:szCs w:val="28"/>
        </w:rPr>
        <w:t xml:space="preserve">无下属预算单位，下设 </w:t>
      </w:r>
      <w:r>
        <w:rPr>
          <w:rStyle w:val="16"/>
          <w:rFonts w:hint="eastAsia" w:ascii="仿宋_GB2312" w:hAnsi="楷体" w:eastAsia="仿宋_GB2312"/>
          <w:b w:val="0"/>
          <w:spacing w:val="-4"/>
          <w:sz w:val="28"/>
          <w:szCs w:val="28"/>
          <w:lang w:val="en-US" w:eastAsia="zh-CN"/>
        </w:rPr>
        <w:t>2</w:t>
      </w:r>
      <w:r>
        <w:rPr>
          <w:rStyle w:val="16"/>
          <w:rFonts w:hint="eastAsia" w:ascii="仿宋_GB2312" w:hAnsi="楷体" w:eastAsia="仿宋_GB2312"/>
          <w:b w:val="0"/>
          <w:spacing w:val="-4"/>
          <w:sz w:val="28"/>
          <w:szCs w:val="28"/>
        </w:rPr>
        <w:t xml:space="preserve"> 个处室，分别是：</w:t>
      </w:r>
      <w:r>
        <w:rPr>
          <w:rStyle w:val="16"/>
          <w:rFonts w:hint="eastAsia" w:ascii="仿宋_GB2312" w:hAnsi="楷体" w:eastAsia="仿宋_GB2312"/>
          <w:b w:val="0"/>
          <w:spacing w:val="-4"/>
          <w:sz w:val="28"/>
          <w:szCs w:val="28"/>
          <w:lang w:val="en-US" w:eastAsia="zh-CN"/>
        </w:rPr>
        <w:t>办公室和财务室</w:t>
      </w:r>
      <w:r>
        <w:rPr>
          <w:rStyle w:val="16"/>
          <w:rFonts w:hint="eastAsia" w:ascii="仿宋_GB2312" w:hAnsi="楷体" w:eastAsia="仿宋_GB2312"/>
          <w:b w:val="0"/>
          <w:spacing w:val="-4"/>
          <w:sz w:val="28"/>
          <w:szCs w:val="28"/>
        </w:rPr>
        <w:t>。</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（2）2021年</w:t>
      </w:r>
      <w:r>
        <w:rPr>
          <w:rStyle w:val="16"/>
          <w:rFonts w:hint="eastAsia" w:ascii="仿宋_GB2312" w:hAnsi="楷体" w:eastAsia="仿宋_GB2312"/>
          <w:b w:val="0"/>
          <w:spacing w:val="-4"/>
          <w:sz w:val="28"/>
          <w:szCs w:val="28"/>
          <w:lang w:val="en-US" w:eastAsia="zh-CN"/>
        </w:rPr>
        <w:t>特克斯县接待处</w:t>
      </w:r>
      <w:r>
        <w:rPr>
          <w:rStyle w:val="16"/>
          <w:rFonts w:hint="eastAsia" w:ascii="仿宋_GB2312" w:hAnsi="楷体" w:eastAsia="仿宋_GB2312"/>
          <w:b w:val="0"/>
          <w:spacing w:val="-4"/>
          <w:sz w:val="28"/>
          <w:szCs w:val="28"/>
        </w:rPr>
        <w:t xml:space="preserve">实有在职人员为 </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lang w:val="en-US" w:eastAsia="zh-CN"/>
        </w:rPr>
        <w:t>1</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rPr>
        <w:t>人，其中：</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lang w:val="en-US" w:eastAsia="zh-CN"/>
        </w:rPr>
        <w:t>事业</w:t>
      </w:r>
      <w:r>
        <w:rPr>
          <w:rStyle w:val="16"/>
          <w:rFonts w:hint="eastAsia" w:ascii="仿宋_GB2312" w:hAnsi="楷体" w:eastAsia="仿宋_GB2312"/>
          <w:b w:val="0"/>
          <w:spacing w:val="-4"/>
          <w:sz w:val="28"/>
          <w:szCs w:val="28"/>
        </w:rPr>
        <w:t xml:space="preserve">在职 </w:t>
      </w:r>
      <w:r>
        <w:rPr>
          <w:rStyle w:val="16"/>
          <w:rFonts w:hint="eastAsia" w:ascii="仿宋_GB2312" w:hAnsi="楷体" w:eastAsia="仿宋_GB2312"/>
          <w:b w:val="0"/>
          <w:spacing w:val="-4"/>
          <w:sz w:val="28"/>
          <w:szCs w:val="28"/>
          <w:lang w:val="en-US" w:eastAsia="zh-CN"/>
        </w:rPr>
        <w:t>1</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rPr>
        <w:t>人（上年</w:t>
      </w:r>
      <w:r>
        <w:rPr>
          <w:rStyle w:val="16"/>
          <w:rFonts w:hint="eastAsia" w:ascii="仿宋_GB2312" w:hAnsi="楷体" w:eastAsia="仿宋_GB2312"/>
          <w:b w:val="0"/>
          <w:spacing w:val="-4"/>
          <w:sz w:val="28"/>
          <w:szCs w:val="28"/>
          <w:lang w:val="en-US" w:eastAsia="zh-CN"/>
        </w:rPr>
        <w:t>4</w:t>
      </w:r>
      <w:r>
        <w:rPr>
          <w:rStyle w:val="16"/>
          <w:rFonts w:hint="eastAsia" w:ascii="仿宋_GB2312" w:hAnsi="楷体" w:eastAsia="仿宋_GB2312"/>
          <w:b w:val="0"/>
          <w:spacing w:val="-4"/>
          <w:sz w:val="28"/>
          <w:szCs w:val="28"/>
        </w:rPr>
        <w:t>人），同比上年</w:t>
      </w:r>
      <w:r>
        <w:rPr>
          <w:rStyle w:val="16"/>
          <w:rFonts w:hint="eastAsia" w:ascii="仿宋_GB2312" w:hAnsi="楷体" w:eastAsia="仿宋_GB2312"/>
          <w:b w:val="0"/>
          <w:spacing w:val="-4"/>
          <w:sz w:val="28"/>
          <w:szCs w:val="28"/>
          <w:lang w:val="en-US" w:eastAsia="zh-CN"/>
        </w:rPr>
        <w:t>减少3</w:t>
      </w:r>
      <w:r>
        <w:rPr>
          <w:rStyle w:val="16"/>
          <w:rFonts w:hint="eastAsia" w:ascii="仿宋_GB2312" w:hAnsi="楷体" w:eastAsia="仿宋_GB2312"/>
          <w:b w:val="0"/>
          <w:spacing w:val="-4"/>
          <w:sz w:val="28"/>
          <w:szCs w:val="28"/>
        </w:rPr>
        <w:t>人；</w:t>
      </w:r>
    </w:p>
    <w:p>
      <w:pPr>
        <w:spacing w:line="360" w:lineRule="auto"/>
        <w:ind w:firstLine="544" w:firstLineChars="200"/>
        <w:rPr>
          <w:rStyle w:val="16"/>
          <w:rFonts w:hint="eastAsia" w:ascii="仿宋_GB2312" w:hAnsi="楷体" w:eastAsia="仿宋_GB2312"/>
          <w:b w:val="0"/>
          <w:spacing w:val="-4"/>
          <w:sz w:val="28"/>
          <w:szCs w:val="28"/>
          <w:lang w:eastAsia="zh-CN"/>
        </w:rPr>
      </w:pPr>
      <w:r>
        <w:rPr>
          <w:rStyle w:val="16"/>
          <w:rFonts w:hint="eastAsia" w:ascii="仿宋_GB2312" w:hAnsi="楷体" w:eastAsia="仿宋_GB2312"/>
          <w:b w:val="0"/>
          <w:spacing w:val="-4"/>
          <w:sz w:val="28"/>
          <w:szCs w:val="28"/>
        </w:rPr>
        <w:t>实有退休人员</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人（上年</w:t>
      </w:r>
      <w:r>
        <w:rPr>
          <w:rStyle w:val="16"/>
          <w:rFonts w:hint="eastAsia" w:ascii="仿宋_GB2312" w:hAnsi="楷体" w:eastAsia="仿宋_GB2312"/>
          <w:b w:val="0"/>
          <w:spacing w:val="-4"/>
          <w:sz w:val="28"/>
          <w:szCs w:val="28"/>
          <w:lang w:val="en-US" w:eastAsia="zh-CN"/>
        </w:rPr>
        <w:t>14</w:t>
      </w:r>
      <w:r>
        <w:rPr>
          <w:rStyle w:val="16"/>
          <w:rFonts w:hint="eastAsia" w:ascii="仿宋_GB2312" w:hAnsi="楷体" w:eastAsia="仿宋_GB2312"/>
          <w:b w:val="0"/>
          <w:spacing w:val="-4"/>
          <w:sz w:val="28"/>
          <w:szCs w:val="28"/>
        </w:rPr>
        <w:t>人）,</w:t>
      </w:r>
      <w:r>
        <w:rPr>
          <w:rFonts w:hint="eastAsia" w:ascii="仿宋_GB2312" w:hAnsi="楷体" w:eastAsia="仿宋_GB2312"/>
          <w:b/>
          <w:spacing w:val="-4"/>
          <w:sz w:val="28"/>
          <w:szCs w:val="28"/>
        </w:rPr>
        <w:t xml:space="preserve"> </w:t>
      </w:r>
      <w:r>
        <w:rPr>
          <w:rStyle w:val="16"/>
          <w:rFonts w:hint="eastAsia" w:ascii="仿宋_GB2312" w:hAnsi="楷体" w:eastAsia="仿宋_GB2312"/>
          <w:b w:val="0"/>
          <w:spacing w:val="-4"/>
          <w:sz w:val="28"/>
          <w:szCs w:val="28"/>
        </w:rPr>
        <w:t>同比上年</w:t>
      </w:r>
      <w:r>
        <w:rPr>
          <w:rStyle w:val="16"/>
          <w:rFonts w:hint="eastAsia" w:ascii="仿宋_GB2312" w:hAnsi="楷体" w:eastAsia="仿宋_GB2312"/>
          <w:b w:val="0"/>
          <w:spacing w:val="-4"/>
          <w:sz w:val="28"/>
          <w:szCs w:val="28"/>
          <w:lang w:val="en-US" w:eastAsia="zh-CN"/>
        </w:rPr>
        <w:t>减少14</w:t>
      </w:r>
      <w:r>
        <w:rPr>
          <w:rStyle w:val="16"/>
          <w:rFonts w:hint="eastAsia" w:ascii="仿宋_GB2312" w:hAnsi="楷体" w:eastAsia="仿宋_GB2312"/>
          <w:b w:val="0"/>
          <w:spacing w:val="-4"/>
          <w:sz w:val="28"/>
          <w:szCs w:val="28"/>
        </w:rPr>
        <w:t>人</w:t>
      </w:r>
      <w:r>
        <w:rPr>
          <w:rStyle w:val="16"/>
          <w:rFonts w:hint="eastAsia" w:ascii="仿宋_GB2312" w:hAnsi="楷体" w:eastAsia="仿宋_GB2312"/>
          <w:b w:val="0"/>
          <w:spacing w:val="-4"/>
          <w:sz w:val="28"/>
          <w:szCs w:val="28"/>
          <w:lang w:eastAsia="zh-CN"/>
        </w:rPr>
        <w:t>。</w:t>
      </w:r>
    </w:p>
    <w:p>
      <w:pPr>
        <w:pStyle w:val="5"/>
        <w:numPr>
          <w:ilvl w:val="0"/>
          <w:numId w:val="1"/>
        </w:numPr>
        <w:spacing w:line="360" w:lineRule="auto"/>
        <w:ind w:firstLine="562" w:firstLineChars="200"/>
        <w:rPr>
          <w:rStyle w:val="16"/>
          <w:rFonts w:hint="eastAsia" w:ascii="仿宋" w:hAnsi="仿宋" w:eastAsia="仿宋"/>
          <w:b/>
          <w:bCs/>
        </w:rPr>
      </w:pPr>
      <w:bookmarkStart w:id="5" w:name="_Toc70450293"/>
      <w:r>
        <w:rPr>
          <w:rStyle w:val="16"/>
          <w:rFonts w:hint="eastAsia" w:ascii="仿宋" w:hAnsi="仿宋" w:eastAsia="仿宋"/>
          <w:b/>
          <w:bCs/>
        </w:rPr>
        <w:t>重点工作计划</w:t>
      </w:r>
      <w:bookmarkEnd w:id="5"/>
    </w:p>
    <w:p>
      <w:pPr>
        <w:pStyle w:val="5"/>
        <w:numPr>
          <w:ilvl w:val="0"/>
          <w:numId w:val="0"/>
        </w:numPr>
        <w:spacing w:line="360" w:lineRule="auto"/>
        <w:ind w:firstLine="544" w:firstLineChars="200"/>
        <w:rPr>
          <w:rFonts w:ascii="仿宋_GB2312" w:hAnsi="仿宋_GB2312" w:eastAsia="仿宋_GB2312" w:cs="仿宋_GB2312"/>
          <w:sz w:val="32"/>
          <w:szCs w:val="32"/>
        </w:rPr>
      </w:pPr>
      <w:r>
        <w:rPr>
          <w:rStyle w:val="16"/>
          <w:rFonts w:hint="eastAsia" w:ascii="仿宋_GB2312" w:hAnsi="楷体" w:eastAsia="仿宋_GB2312" w:cstheme="minorBidi"/>
          <w:b w:val="0"/>
          <w:bCs/>
          <w:spacing w:val="-4"/>
          <w:kern w:val="2"/>
          <w:sz w:val="28"/>
          <w:szCs w:val="28"/>
          <w:lang w:val="en-US" w:eastAsia="zh-CN" w:bidi="ar-SA"/>
        </w:rPr>
        <w:t>（1）完成县委、政府安排的各项工作任务。（2）协助县委、政府做好全县性会议、活动、调研的接待工作。（3）保障全处日常工作运转、提高工作效率和工作质量。（4）保障全处系统人员工资及社保正常发放。</w:t>
      </w:r>
    </w:p>
    <w:p>
      <w:pPr>
        <w:pStyle w:val="4"/>
        <w:spacing w:line="360" w:lineRule="auto"/>
        <w:rPr>
          <w:rStyle w:val="16"/>
          <w:rFonts w:ascii="仿宋" w:hAnsi="仿宋" w:eastAsia="仿宋"/>
          <w:b/>
          <w:bCs/>
          <w:sz w:val="28"/>
          <w:szCs w:val="28"/>
        </w:rPr>
      </w:pPr>
      <w:bookmarkStart w:id="6" w:name="_Toc70450294"/>
      <w:r>
        <w:rPr>
          <w:rStyle w:val="16"/>
          <w:rFonts w:hint="eastAsia" w:ascii="仿宋" w:hAnsi="仿宋" w:eastAsia="仿宋"/>
          <w:b/>
          <w:bCs/>
          <w:sz w:val="28"/>
          <w:szCs w:val="28"/>
        </w:rPr>
        <w:t>（二）部门单位整体支出规模、</w:t>
      </w:r>
      <w:bookmarkStart w:id="7" w:name="_Hlk70339807"/>
      <w:r>
        <w:rPr>
          <w:rStyle w:val="16"/>
          <w:rFonts w:hint="eastAsia" w:ascii="仿宋" w:hAnsi="仿宋" w:eastAsia="仿宋"/>
          <w:b/>
          <w:bCs/>
          <w:sz w:val="28"/>
          <w:szCs w:val="28"/>
        </w:rPr>
        <w:t>使用方法和主要内容、涉及对象及范围等</w:t>
      </w:r>
      <w:bookmarkEnd w:id="6"/>
    </w:p>
    <w:bookmarkEnd w:id="7"/>
    <w:p>
      <w:pPr>
        <w:pStyle w:val="5"/>
        <w:spacing w:line="360" w:lineRule="auto"/>
        <w:ind w:firstLine="562" w:firstLineChars="200"/>
        <w:rPr>
          <w:rStyle w:val="16"/>
          <w:rFonts w:ascii="仿宋" w:hAnsi="仿宋" w:eastAsia="仿宋"/>
          <w:b/>
          <w:bCs/>
        </w:rPr>
      </w:pPr>
      <w:bookmarkStart w:id="8" w:name="_Toc70450295"/>
      <w:r>
        <w:rPr>
          <w:rStyle w:val="16"/>
          <w:rFonts w:hint="eastAsia" w:ascii="仿宋" w:hAnsi="仿宋" w:eastAsia="仿宋"/>
          <w:b/>
          <w:bCs/>
        </w:rPr>
        <w:t>1、部门单位整体支出规模</w:t>
      </w:r>
      <w:bookmarkEnd w:id="8"/>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2021年批复我</w:t>
      </w:r>
      <w:r>
        <w:rPr>
          <w:rStyle w:val="16"/>
          <w:rFonts w:hint="eastAsia" w:ascii="仿宋_GB2312" w:hAnsi="楷体" w:eastAsia="仿宋_GB2312"/>
          <w:b w:val="0"/>
          <w:spacing w:val="-4"/>
          <w:sz w:val="28"/>
          <w:szCs w:val="28"/>
          <w:lang w:val="en-US" w:eastAsia="zh-CN"/>
        </w:rPr>
        <w:t>单位</w:t>
      </w:r>
      <w:r>
        <w:rPr>
          <w:rStyle w:val="16"/>
          <w:rFonts w:hint="eastAsia" w:ascii="仿宋_GB2312" w:hAnsi="楷体" w:eastAsia="仿宋_GB2312"/>
          <w:b w:val="0"/>
          <w:spacing w:val="-4"/>
          <w:sz w:val="28"/>
          <w:szCs w:val="28"/>
        </w:rPr>
        <w:t>预算为</w:t>
      </w:r>
      <w:r>
        <w:rPr>
          <w:rStyle w:val="16"/>
          <w:rFonts w:hint="eastAsia" w:ascii="仿宋_GB2312" w:hAnsi="楷体" w:eastAsia="仿宋_GB2312"/>
          <w:b w:val="0"/>
          <w:spacing w:val="-4"/>
          <w:sz w:val="28"/>
          <w:szCs w:val="28"/>
          <w:lang w:val="en-US" w:eastAsia="zh-CN"/>
        </w:rPr>
        <w:t>194.46</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rPr>
        <w:t>万元，其中：财政拨款为</w:t>
      </w:r>
      <w:r>
        <w:rPr>
          <w:rStyle w:val="16"/>
          <w:rFonts w:hint="eastAsia" w:ascii="仿宋_GB2312" w:hAnsi="楷体" w:eastAsia="仿宋_GB2312"/>
          <w:b w:val="0"/>
          <w:spacing w:val="-4"/>
          <w:sz w:val="28"/>
          <w:szCs w:val="28"/>
          <w:lang w:val="en-US" w:eastAsia="zh-CN"/>
        </w:rPr>
        <w:t>194.46</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rPr>
        <w:t>万元</w:t>
      </w:r>
      <w:r>
        <w:rPr>
          <w:rStyle w:val="16"/>
          <w:rFonts w:hint="eastAsia" w:ascii="仿宋_GB2312" w:hAnsi="楷体" w:eastAsia="仿宋_GB2312"/>
          <w:b w:val="0"/>
          <w:spacing w:val="-4"/>
          <w:sz w:val="28"/>
          <w:szCs w:val="28"/>
          <w:lang w:eastAsia="zh-CN"/>
        </w:rPr>
        <w:t>。</w:t>
      </w:r>
      <w:r>
        <w:rPr>
          <w:rStyle w:val="16"/>
          <w:rFonts w:hint="eastAsia" w:ascii="仿宋_GB2312" w:hAnsi="楷体" w:eastAsia="仿宋_GB2312"/>
          <w:b w:val="0"/>
          <w:spacing w:val="-4"/>
          <w:sz w:val="28"/>
          <w:szCs w:val="28"/>
        </w:rPr>
        <w:t>年中追加资金</w:t>
      </w:r>
      <w:r>
        <w:rPr>
          <w:rStyle w:val="16"/>
          <w:rFonts w:hint="eastAsia" w:ascii="仿宋_GB2312" w:hAnsi="楷体" w:eastAsia="仿宋_GB2312"/>
          <w:b w:val="0"/>
          <w:spacing w:val="-4"/>
          <w:sz w:val="28"/>
          <w:szCs w:val="28"/>
          <w:lang w:val="en-US" w:eastAsia="zh-CN"/>
        </w:rPr>
        <w:t>141.95</w:t>
      </w:r>
      <w:r>
        <w:rPr>
          <w:rStyle w:val="16"/>
          <w:rFonts w:hint="eastAsia" w:ascii="仿宋_GB2312" w:hAnsi="楷体" w:eastAsia="仿宋_GB2312"/>
          <w:b w:val="0"/>
          <w:spacing w:val="-4"/>
          <w:sz w:val="28"/>
          <w:szCs w:val="28"/>
        </w:rPr>
        <w:t>万元，调整率</w:t>
      </w:r>
      <w:r>
        <w:rPr>
          <w:rStyle w:val="16"/>
          <w:rFonts w:hint="eastAsia" w:ascii="仿宋_GB2312" w:hAnsi="楷体" w:eastAsia="仿宋_GB2312"/>
          <w:b w:val="0"/>
          <w:spacing w:val="-4"/>
          <w:sz w:val="28"/>
          <w:szCs w:val="28"/>
          <w:lang w:val="en-US" w:eastAsia="zh-CN"/>
        </w:rPr>
        <w:t>270.33</w:t>
      </w:r>
      <w:r>
        <w:rPr>
          <w:rStyle w:val="16"/>
          <w:rFonts w:hint="eastAsia" w:ascii="仿宋_GB2312" w:hAnsi="楷体" w:eastAsia="仿宋_GB2312"/>
          <w:b w:val="0"/>
          <w:spacing w:val="-4"/>
          <w:sz w:val="28"/>
          <w:szCs w:val="28"/>
        </w:rPr>
        <w:t>%。对比上年</w:t>
      </w:r>
      <w:r>
        <w:rPr>
          <w:rStyle w:val="16"/>
          <w:rFonts w:hint="eastAsia" w:ascii="仿宋_GB2312" w:hAnsi="楷体" w:eastAsia="仿宋_GB2312"/>
          <w:b w:val="0"/>
          <w:spacing w:val="-4"/>
          <w:sz w:val="28"/>
          <w:szCs w:val="28"/>
          <w:lang w:val="en-US" w:eastAsia="zh-CN"/>
        </w:rPr>
        <w:t>225.56万元</w:t>
      </w:r>
      <w:r>
        <w:rPr>
          <w:rStyle w:val="16"/>
          <w:rFonts w:hint="eastAsia" w:ascii="仿宋_GB2312" w:hAnsi="楷体" w:eastAsia="仿宋_GB2312"/>
          <w:b w:val="0"/>
          <w:spacing w:val="-4"/>
          <w:sz w:val="28"/>
          <w:szCs w:val="28"/>
        </w:rPr>
        <w:t>减少</w:t>
      </w:r>
      <w:r>
        <w:rPr>
          <w:rStyle w:val="16"/>
          <w:rFonts w:hint="eastAsia" w:ascii="仿宋_GB2312" w:hAnsi="楷体" w:eastAsia="仿宋_GB2312"/>
          <w:b w:val="0"/>
          <w:spacing w:val="-4"/>
          <w:sz w:val="28"/>
          <w:szCs w:val="28"/>
          <w:lang w:val="en-US" w:eastAsia="zh-CN"/>
        </w:rPr>
        <w:t>31.1</w:t>
      </w:r>
      <w:r>
        <w:rPr>
          <w:rStyle w:val="16"/>
          <w:rFonts w:hint="eastAsia" w:ascii="仿宋_GB2312" w:hAnsi="楷体" w:eastAsia="仿宋_GB2312"/>
          <w:b w:val="0"/>
          <w:spacing w:val="-4"/>
          <w:sz w:val="28"/>
          <w:szCs w:val="28"/>
        </w:rPr>
        <w:t>万元，下降</w:t>
      </w:r>
      <w:r>
        <w:rPr>
          <w:rStyle w:val="16"/>
          <w:rFonts w:hint="eastAsia" w:ascii="仿宋_GB2312" w:hAnsi="楷体" w:eastAsia="仿宋_GB2312"/>
          <w:b w:val="0"/>
          <w:spacing w:val="-4"/>
          <w:sz w:val="28"/>
          <w:szCs w:val="28"/>
          <w:lang w:val="en-US" w:eastAsia="zh-CN"/>
        </w:rPr>
        <w:t>13.79</w:t>
      </w:r>
      <w:r>
        <w:rPr>
          <w:rStyle w:val="16"/>
          <w:rFonts w:hint="eastAsia" w:ascii="仿宋_GB2312" w:hAnsi="楷体" w:eastAsia="仿宋_GB2312"/>
          <w:b w:val="0"/>
          <w:spacing w:val="-4"/>
          <w:sz w:val="28"/>
          <w:szCs w:val="28"/>
        </w:rPr>
        <w:t>%。</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2021年实际决算支出</w:t>
      </w:r>
      <w:r>
        <w:rPr>
          <w:rStyle w:val="16"/>
          <w:rFonts w:hint="eastAsia" w:ascii="仿宋_GB2312" w:hAnsi="楷体" w:eastAsia="仿宋_GB2312"/>
          <w:b w:val="0"/>
          <w:spacing w:val="-4"/>
          <w:sz w:val="28"/>
          <w:szCs w:val="28"/>
          <w:lang w:val="en-US" w:eastAsia="zh-CN"/>
        </w:rPr>
        <w:t>194.46</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rPr>
        <w:t>万元，执行率</w:t>
      </w:r>
      <w:r>
        <w:rPr>
          <w:rStyle w:val="16"/>
          <w:rFonts w:hint="eastAsia" w:ascii="仿宋_GB2312" w:hAnsi="楷体" w:eastAsia="仿宋_GB2312"/>
          <w:b w:val="0"/>
          <w:spacing w:val="-4"/>
          <w:sz w:val="28"/>
          <w:szCs w:val="28"/>
          <w:lang w:val="en-US" w:eastAsia="zh-CN"/>
        </w:rPr>
        <w:t>100</w:t>
      </w:r>
      <w:r>
        <w:rPr>
          <w:rStyle w:val="16"/>
          <w:rFonts w:hint="eastAsia" w:ascii="仿宋_GB2312" w:hAnsi="楷体" w:eastAsia="仿宋_GB2312"/>
          <w:b w:val="0"/>
          <w:spacing w:val="-4"/>
          <w:sz w:val="28"/>
          <w:szCs w:val="28"/>
        </w:rPr>
        <w:t>%，其中：</w:t>
      </w:r>
    </w:p>
    <w:p>
      <w:pPr>
        <w:numPr>
          <w:ilvl w:val="0"/>
          <w:numId w:val="2"/>
        </w:num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基本支出</w:t>
      </w:r>
      <w:r>
        <w:rPr>
          <w:rStyle w:val="16"/>
          <w:rFonts w:hint="eastAsia" w:ascii="仿宋_GB2312" w:hAnsi="楷体" w:eastAsia="仿宋_GB2312"/>
          <w:b w:val="0"/>
          <w:spacing w:val="-4"/>
          <w:sz w:val="28"/>
          <w:szCs w:val="28"/>
          <w:lang w:val="en-US" w:eastAsia="zh-CN"/>
        </w:rPr>
        <w:t>194.46</w:t>
      </w:r>
      <w:r>
        <w:rPr>
          <w:rStyle w:val="16"/>
          <w:rFonts w:hint="eastAsia" w:ascii="仿宋_GB2312" w:hAnsi="楷体" w:eastAsia="仿宋_GB2312"/>
          <w:b w:val="0"/>
          <w:spacing w:val="-4"/>
          <w:sz w:val="28"/>
          <w:szCs w:val="28"/>
        </w:rPr>
        <w:t>万元，占总支出的</w:t>
      </w:r>
      <w:r>
        <w:rPr>
          <w:rStyle w:val="16"/>
          <w:rFonts w:hint="eastAsia" w:ascii="仿宋_GB2312" w:hAnsi="楷体" w:eastAsia="仿宋_GB2312"/>
          <w:b w:val="0"/>
          <w:spacing w:val="-4"/>
          <w:sz w:val="28"/>
          <w:szCs w:val="28"/>
          <w:lang w:val="en-US" w:eastAsia="zh-CN"/>
        </w:rPr>
        <w:t>100</w:t>
      </w:r>
      <w:r>
        <w:rPr>
          <w:rStyle w:val="16"/>
          <w:rFonts w:hint="eastAsia" w:ascii="仿宋_GB2312" w:hAnsi="楷体" w:eastAsia="仿宋_GB2312"/>
          <w:b w:val="0"/>
          <w:spacing w:val="-4"/>
          <w:sz w:val="28"/>
          <w:szCs w:val="28"/>
        </w:rPr>
        <w:t>％，主要用于本</w:t>
      </w:r>
      <w:r>
        <w:rPr>
          <w:rStyle w:val="16"/>
          <w:rFonts w:hint="eastAsia" w:ascii="仿宋_GB2312" w:hAnsi="楷体" w:eastAsia="仿宋_GB2312"/>
          <w:b w:val="0"/>
          <w:spacing w:val="-4"/>
          <w:sz w:val="28"/>
          <w:szCs w:val="28"/>
          <w:lang w:val="en-US" w:eastAsia="zh-CN"/>
        </w:rPr>
        <w:t>单位</w:t>
      </w:r>
      <w:r>
        <w:rPr>
          <w:rStyle w:val="16"/>
          <w:rFonts w:hint="eastAsia" w:ascii="仿宋_GB2312" w:hAnsi="楷体" w:eastAsia="仿宋_GB2312"/>
          <w:b w:val="0"/>
          <w:spacing w:val="-4"/>
          <w:sz w:val="28"/>
          <w:szCs w:val="28"/>
        </w:rPr>
        <w:t>机构正常运转、完成日常工作任务而发生的各项支出。其中：工资福利支出</w:t>
      </w:r>
      <w:r>
        <w:rPr>
          <w:rStyle w:val="16"/>
          <w:rFonts w:hint="eastAsia" w:ascii="仿宋_GB2312" w:hAnsi="楷体" w:eastAsia="仿宋_GB2312"/>
          <w:b w:val="0"/>
          <w:spacing w:val="-4"/>
          <w:sz w:val="28"/>
          <w:szCs w:val="28"/>
          <w:lang w:val="en-US" w:eastAsia="zh-CN"/>
        </w:rPr>
        <w:t>14.13</w:t>
      </w:r>
      <w:r>
        <w:rPr>
          <w:rStyle w:val="16"/>
          <w:rFonts w:hint="eastAsia" w:ascii="仿宋_GB2312" w:hAnsi="楷体" w:eastAsia="仿宋_GB2312"/>
          <w:b w:val="0"/>
          <w:spacing w:val="-4"/>
          <w:sz w:val="28"/>
          <w:szCs w:val="28"/>
        </w:rPr>
        <w:t>万元，主要用于在职和离退休人员基本工资、津贴补贴等人员经费。商品和服务支出</w:t>
      </w:r>
      <w:r>
        <w:rPr>
          <w:rStyle w:val="16"/>
          <w:rFonts w:hint="eastAsia" w:ascii="仿宋_GB2312" w:hAnsi="楷体" w:eastAsia="仿宋_GB2312"/>
          <w:b w:val="0"/>
          <w:spacing w:val="-4"/>
          <w:sz w:val="28"/>
          <w:szCs w:val="28"/>
          <w:lang w:val="en-US" w:eastAsia="zh-CN"/>
        </w:rPr>
        <w:t>180.33</w:t>
      </w:r>
      <w:r>
        <w:rPr>
          <w:rStyle w:val="16"/>
          <w:rFonts w:hint="eastAsia" w:ascii="仿宋_GB2312" w:hAnsi="楷体" w:eastAsia="仿宋_GB2312"/>
          <w:b w:val="0"/>
          <w:spacing w:val="-4"/>
          <w:sz w:val="28"/>
          <w:szCs w:val="28"/>
        </w:rPr>
        <w:t>万元，主要用于</w:t>
      </w:r>
      <w:r>
        <w:rPr>
          <w:rStyle w:val="16"/>
          <w:rFonts w:hint="eastAsia" w:ascii="仿宋_GB2312" w:hAnsi="楷体" w:eastAsia="仿宋_GB2312"/>
          <w:b w:val="0"/>
          <w:spacing w:val="-4"/>
          <w:sz w:val="28"/>
          <w:szCs w:val="28"/>
          <w:lang w:val="en-US" w:eastAsia="zh-CN"/>
        </w:rPr>
        <w:t>公务接待费、公务用车运行维护费</w:t>
      </w:r>
      <w:r>
        <w:rPr>
          <w:rStyle w:val="16"/>
          <w:rFonts w:hint="eastAsia" w:ascii="仿宋_GB2312" w:hAnsi="楷体" w:eastAsia="仿宋_GB2312"/>
          <w:b w:val="0"/>
          <w:spacing w:val="-4"/>
          <w:sz w:val="28"/>
          <w:szCs w:val="28"/>
        </w:rPr>
        <w:t>等。</w:t>
      </w:r>
    </w:p>
    <w:p>
      <w:pPr>
        <w:numPr>
          <w:ilvl w:val="0"/>
          <w:numId w:val="2"/>
        </w:num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项目支出</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万元，占总支出的</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w:t>
      </w:r>
      <w:r>
        <w:rPr>
          <w:rStyle w:val="16"/>
          <w:rFonts w:ascii="仿宋_GB2312" w:hAnsi="楷体" w:eastAsia="仿宋_GB2312"/>
          <w:b w:val="0"/>
          <w:spacing w:val="-4"/>
          <w:sz w:val="28"/>
          <w:szCs w:val="28"/>
        </w:rPr>
        <w:t>3</w:t>
      </w:r>
      <w:r>
        <w:rPr>
          <w:rStyle w:val="16"/>
          <w:rFonts w:hint="eastAsia" w:ascii="仿宋_GB2312" w:hAnsi="楷体" w:eastAsia="仿宋_GB2312"/>
          <w:b w:val="0"/>
          <w:spacing w:val="-4"/>
          <w:sz w:val="28"/>
          <w:szCs w:val="28"/>
        </w:rPr>
        <w:t>）本年度重点项目支出</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万元，重点支出保障率</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w:t>
      </w:r>
    </w:p>
    <w:p>
      <w:pPr>
        <w:spacing w:line="360" w:lineRule="auto"/>
        <w:ind w:firstLine="544" w:firstLineChars="200"/>
        <w:rPr>
          <w:rStyle w:val="16"/>
          <w:rFonts w:hint="eastAsia" w:ascii="仿宋_GB2312" w:hAnsi="楷体" w:eastAsia="仿宋_GB2312"/>
          <w:b w:val="0"/>
          <w:spacing w:val="-4"/>
          <w:sz w:val="32"/>
          <w:szCs w:val="32"/>
          <w:lang w:eastAsia="zh-CN"/>
        </w:rPr>
      </w:pPr>
      <w:r>
        <w:rPr>
          <w:rStyle w:val="16"/>
          <w:rFonts w:hint="eastAsia" w:ascii="仿宋_GB2312" w:hAnsi="楷体" w:eastAsia="仿宋_GB2312"/>
          <w:b w:val="0"/>
          <w:spacing w:val="-4"/>
          <w:sz w:val="28"/>
          <w:szCs w:val="28"/>
        </w:rPr>
        <w:t>（4）</w:t>
      </w:r>
      <w:r>
        <w:rPr>
          <w:rStyle w:val="16"/>
          <w:rFonts w:hint="eastAsia" w:ascii="仿宋_GB2312" w:hAnsi="楷体" w:eastAsia="仿宋_GB2312" w:cs="Times New Roman"/>
          <w:b w:val="0"/>
          <w:spacing w:val="-4"/>
          <w:sz w:val="28"/>
          <w:szCs w:val="28"/>
        </w:rPr>
        <w:t>本年度我单位无政府采购预算</w:t>
      </w:r>
      <w:r>
        <w:rPr>
          <w:rStyle w:val="16"/>
          <w:rFonts w:hint="eastAsia" w:ascii="仿宋_GB2312" w:hAnsi="楷体" w:eastAsia="仿宋_GB2312" w:cs="Times New Roman"/>
          <w:b w:val="0"/>
          <w:spacing w:val="-4"/>
          <w:sz w:val="28"/>
          <w:szCs w:val="28"/>
          <w:lang w:eastAsia="zh-CN"/>
        </w:rPr>
        <w:t>。</w:t>
      </w:r>
    </w:p>
    <w:p>
      <w:pPr>
        <w:pStyle w:val="5"/>
        <w:spacing w:line="360" w:lineRule="auto"/>
        <w:ind w:firstLine="562" w:firstLineChars="200"/>
        <w:rPr>
          <w:rStyle w:val="16"/>
          <w:rFonts w:ascii="仿宋" w:hAnsi="仿宋" w:eastAsia="仿宋"/>
          <w:b/>
          <w:bCs/>
        </w:rPr>
      </w:pPr>
      <w:bookmarkStart w:id="9" w:name="_Toc70450296"/>
      <w:r>
        <w:rPr>
          <w:rStyle w:val="16"/>
          <w:rFonts w:ascii="仿宋" w:hAnsi="仿宋" w:eastAsia="仿宋"/>
          <w:b/>
          <w:bCs/>
        </w:rPr>
        <w:t>2</w:t>
      </w:r>
      <w:r>
        <w:rPr>
          <w:rStyle w:val="16"/>
          <w:rFonts w:hint="eastAsia" w:ascii="仿宋" w:hAnsi="仿宋" w:eastAsia="仿宋"/>
          <w:b/>
          <w:bCs/>
        </w:rPr>
        <w:t>、整体支出评价使用方法和主要内容、涉及对象及范围等</w:t>
      </w:r>
      <w:bookmarkEnd w:id="9"/>
    </w:p>
    <w:p>
      <w:pPr>
        <w:spacing w:line="360" w:lineRule="auto"/>
        <w:ind w:firstLine="560" w:firstLineChars="200"/>
        <w:rPr>
          <w:rStyle w:val="16"/>
          <w:rFonts w:ascii="仿宋_GB2312" w:eastAsia="仿宋_GB2312"/>
          <w:b w:val="0"/>
          <w:bCs w:val="0"/>
          <w:color w:val="000000" w:themeColor="text1"/>
          <w:sz w:val="28"/>
          <w:szCs w:val="36"/>
          <w:highlight w:val="none"/>
          <w14:textFill>
            <w14:solidFill>
              <w14:schemeClr w14:val="tx1"/>
            </w14:solidFill>
          </w14:textFill>
        </w:rPr>
      </w:pPr>
      <w:r>
        <w:rPr>
          <w:rFonts w:hint="eastAsia" w:ascii="仿宋_GB2312" w:eastAsia="仿宋_GB2312"/>
          <w:color w:val="000000" w:themeColor="text1"/>
          <w:sz w:val="28"/>
          <w:szCs w:val="36"/>
          <w:highlight w:val="none"/>
          <w14:textFill>
            <w14:solidFill>
              <w14:schemeClr w14:val="tx1"/>
            </w14:solidFill>
          </w14:textFill>
        </w:rPr>
        <w:t>（1）</w:t>
      </w:r>
      <w:r>
        <w:rPr>
          <w:rStyle w:val="16"/>
          <w:rFonts w:hint="eastAsia" w:ascii="仿宋_GB2312" w:eastAsia="仿宋_GB2312"/>
          <w:b w:val="0"/>
          <w:bCs w:val="0"/>
          <w:color w:val="000000" w:themeColor="text1"/>
          <w:sz w:val="28"/>
          <w:szCs w:val="36"/>
          <w:highlight w:val="none"/>
          <w14:textFill>
            <w14:solidFill>
              <w14:schemeClr w14:val="tx1"/>
            </w14:solidFill>
          </w14:textFill>
        </w:rPr>
        <w:t>整体支出评价使用方法</w:t>
      </w:r>
    </w:p>
    <w:p>
      <w:pPr>
        <w:spacing w:line="360" w:lineRule="auto"/>
        <w:ind w:firstLine="544" w:firstLineChars="200"/>
        <w:rPr>
          <w:rFonts w:hint="eastAsia" w:ascii="仿宋_GB2312" w:eastAsia="仿宋_GB2312"/>
          <w:sz w:val="28"/>
          <w:szCs w:val="36"/>
          <w:highlight w:val="yellow"/>
          <w:lang w:eastAsia="zh-CN"/>
        </w:rPr>
      </w:pPr>
      <w:r>
        <w:rPr>
          <w:rStyle w:val="16"/>
          <w:rFonts w:hint="eastAsia" w:ascii="仿宋_GB2312" w:hAnsi="楷体" w:eastAsia="仿宋_GB2312" w:cs="Times New Roman"/>
          <w:b w:val="0"/>
          <w:bCs w:val="0"/>
          <w:spacing w:val="-4"/>
          <w:sz w:val="28"/>
          <w:szCs w:val="28"/>
        </w:rPr>
        <w:t>本次单位整体支出绩效自评采用因素分析方法，原因是：</w:t>
      </w:r>
      <w:r>
        <w:rPr>
          <w:rStyle w:val="16"/>
          <w:rFonts w:hint="eastAsia" w:ascii="仿宋_GB2312" w:hAnsi="楷体" w:eastAsia="仿宋_GB2312" w:cs="Times New Roman"/>
          <w:b w:val="0"/>
          <w:bCs w:val="0"/>
          <w:spacing w:val="-4"/>
          <w:sz w:val="28"/>
          <w:szCs w:val="28"/>
          <w:lang w:val="en-US" w:eastAsia="zh-CN"/>
        </w:rPr>
        <w:t>特克斯接待处</w:t>
      </w:r>
      <w:bookmarkStart w:id="32" w:name="_GoBack"/>
      <w:bookmarkEnd w:id="32"/>
      <w:r>
        <w:rPr>
          <w:rStyle w:val="16"/>
          <w:rFonts w:hint="eastAsia" w:ascii="仿宋_GB2312" w:hAnsi="楷体" w:eastAsia="仿宋_GB2312" w:cs="Times New Roman"/>
          <w:b w:val="0"/>
          <w:bCs w:val="0"/>
          <w:spacing w:val="-4"/>
          <w:sz w:val="28"/>
          <w:szCs w:val="28"/>
        </w:rPr>
        <w:t>通过综合分析影响绩效目标实现、实施效果的内外因素，评价绩效目标实现程度。通过对项目的开展情况、项目产出数量、成本控制、资金拨付文件及自评报告等相关资料的收集和审核，综合分析各因素对绩效目标实现的影响。</w:t>
      </w:r>
    </w:p>
    <w:p>
      <w:pPr>
        <w:spacing w:line="360" w:lineRule="auto"/>
        <w:ind w:firstLine="560" w:firstLineChars="200"/>
        <w:rPr>
          <w:rStyle w:val="16"/>
          <w:rFonts w:ascii="仿宋_GB2312" w:eastAsia="仿宋_GB2312"/>
          <w:b w:val="0"/>
          <w:bCs w:val="0"/>
          <w:sz w:val="28"/>
          <w:szCs w:val="36"/>
        </w:rPr>
      </w:pPr>
      <w:r>
        <w:rPr>
          <w:rStyle w:val="16"/>
          <w:rFonts w:hint="eastAsia" w:ascii="仿宋_GB2312" w:eastAsia="仿宋_GB2312"/>
          <w:b w:val="0"/>
          <w:bCs w:val="0"/>
          <w:sz w:val="28"/>
          <w:szCs w:val="36"/>
        </w:rPr>
        <w:t>（2）整体支出评价主要内容</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1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①</w:t>
      </w:r>
      <w:r>
        <w:rPr>
          <w:rFonts w:ascii="仿宋_GB2312" w:eastAsia="仿宋_GB2312"/>
          <w:sz w:val="28"/>
          <w:szCs w:val="36"/>
        </w:rPr>
        <w:fldChar w:fldCharType="end"/>
      </w:r>
      <w:r>
        <w:rPr>
          <w:rFonts w:hint="eastAsia" w:ascii="仿宋_GB2312" w:eastAsia="仿宋_GB2312"/>
          <w:sz w:val="28"/>
          <w:szCs w:val="36"/>
        </w:rPr>
        <w:t>绩效目标的设定情况。重点评价绩效目标设立的充分性、明确性、合理性以及细化程度。</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2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②</w:t>
      </w:r>
      <w:r>
        <w:rPr>
          <w:rFonts w:ascii="仿宋_GB2312" w:eastAsia="仿宋_GB2312"/>
          <w:sz w:val="28"/>
          <w:szCs w:val="36"/>
        </w:rPr>
        <w:fldChar w:fldCharType="end"/>
      </w:r>
      <w:r>
        <w:rPr>
          <w:rFonts w:hint="eastAsia" w:ascii="仿宋_GB2312" w:eastAsia="仿宋_GB2312"/>
          <w:sz w:val="28"/>
          <w:szCs w:val="36"/>
        </w:rPr>
        <w:t>资金投入和使用情况。重点评价资金分配过程、投入方式、资金到位、预算执行和结果。</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3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③</w:t>
      </w:r>
      <w:r>
        <w:rPr>
          <w:rFonts w:ascii="仿宋_GB2312" w:eastAsia="仿宋_GB2312"/>
          <w:sz w:val="28"/>
          <w:szCs w:val="36"/>
        </w:rPr>
        <w:fldChar w:fldCharType="end"/>
      </w:r>
      <w:r>
        <w:rPr>
          <w:rFonts w:hint="eastAsia" w:ascii="仿宋_GB2312" w:eastAsia="仿宋_GB2312"/>
          <w:sz w:val="28"/>
          <w:szCs w:val="36"/>
        </w:rPr>
        <w:t>为实现绩效目标制定的制度、采取的措施等。包括项目管理制度、财务管理制度、资产管理制度和绩效跟踪管理措施等。</w:t>
      </w:r>
    </w:p>
    <w:p>
      <w:pPr>
        <w:spacing w:line="360" w:lineRule="auto"/>
        <w:ind w:firstLine="560" w:firstLineChars="200"/>
        <w:rPr>
          <w:rStyle w:val="16"/>
          <w:rFonts w:ascii="仿宋_GB2312" w:eastAsia="仿宋_GB2312"/>
          <w:b w:val="0"/>
          <w:bCs w:val="0"/>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4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④</w:t>
      </w:r>
      <w:r>
        <w:rPr>
          <w:rFonts w:ascii="仿宋_GB2312" w:eastAsia="仿宋_GB2312"/>
          <w:sz w:val="28"/>
          <w:szCs w:val="36"/>
        </w:rPr>
        <w:fldChar w:fldCharType="end"/>
      </w:r>
      <w:r>
        <w:rPr>
          <w:rFonts w:hint="eastAsia" w:ascii="仿宋_GB2312" w:eastAsia="仿宋_GB2312"/>
          <w:sz w:val="28"/>
          <w:szCs w:val="36"/>
        </w:rPr>
        <w:t>绩效目标的实现程度和效果。绩效目标的实现程度包括产出数量、产出质量、产出时效和产出成本。效果包括经济效益、社会效益、生态效益、可持续影响以及服务对象满意度等。</w:t>
      </w:r>
    </w:p>
    <w:p>
      <w:pPr>
        <w:spacing w:line="360" w:lineRule="auto"/>
        <w:ind w:firstLine="560" w:firstLineChars="200"/>
        <w:rPr>
          <w:rStyle w:val="16"/>
          <w:rFonts w:ascii="仿宋_GB2312" w:eastAsia="仿宋_GB2312"/>
          <w:b w:val="0"/>
          <w:bCs w:val="0"/>
          <w:sz w:val="28"/>
          <w:szCs w:val="36"/>
        </w:rPr>
      </w:pPr>
      <w:r>
        <w:rPr>
          <w:rStyle w:val="16"/>
          <w:rFonts w:hint="eastAsia" w:ascii="仿宋_GB2312" w:eastAsia="仿宋_GB2312"/>
          <w:b w:val="0"/>
          <w:bCs w:val="0"/>
          <w:sz w:val="28"/>
          <w:szCs w:val="36"/>
        </w:rPr>
        <w:t>（3）整体支出评价涉及对象及范围</w:t>
      </w:r>
    </w:p>
    <w:p>
      <w:pPr>
        <w:spacing w:line="360" w:lineRule="auto"/>
        <w:ind w:firstLine="560" w:firstLineChars="200"/>
        <w:rPr>
          <w:rStyle w:val="16"/>
          <w:rFonts w:ascii="仿宋_GB2312" w:eastAsia="仿宋_GB2312"/>
          <w:b w:val="0"/>
          <w:bCs w:val="0"/>
          <w:sz w:val="28"/>
          <w:szCs w:val="36"/>
        </w:rPr>
      </w:pPr>
      <w:r>
        <w:rPr>
          <w:rStyle w:val="16"/>
          <w:rFonts w:hint="eastAsia" w:ascii="仿宋_GB2312" w:eastAsia="仿宋_GB2312"/>
          <w:b w:val="0"/>
          <w:bCs w:val="0"/>
          <w:sz w:val="28"/>
          <w:szCs w:val="36"/>
        </w:rPr>
        <w:t>涉及对象：</w:t>
      </w:r>
      <w:r>
        <w:rPr>
          <w:rFonts w:hint="eastAsia" w:ascii="仿宋_GB2312" w:eastAsia="仿宋_GB2312"/>
          <w:sz w:val="28"/>
          <w:szCs w:val="36"/>
        </w:rPr>
        <w:t>本次评价对象是</w:t>
      </w:r>
      <w:r>
        <w:rPr>
          <w:rFonts w:hint="eastAsia" w:ascii="仿宋_GB2312" w:eastAsia="仿宋_GB2312"/>
          <w:sz w:val="28"/>
          <w:szCs w:val="36"/>
          <w:lang w:val="en-US" w:eastAsia="zh-CN"/>
        </w:rPr>
        <w:t>特克斯县接待处</w:t>
      </w:r>
      <w:r>
        <w:rPr>
          <w:rFonts w:hint="eastAsia" w:ascii="仿宋_GB2312" w:eastAsia="仿宋_GB2312"/>
          <w:sz w:val="28"/>
          <w:szCs w:val="36"/>
        </w:rPr>
        <w:t>所有财政资金支出活动。</w:t>
      </w:r>
    </w:p>
    <w:p>
      <w:pPr>
        <w:spacing w:line="360" w:lineRule="auto"/>
        <w:ind w:firstLine="560" w:firstLineChars="200"/>
        <w:rPr>
          <w:rStyle w:val="16"/>
          <w:rFonts w:ascii="仿宋_GB2312" w:eastAsia="仿宋_GB2312"/>
          <w:b w:val="0"/>
          <w:bCs w:val="0"/>
          <w:sz w:val="28"/>
          <w:szCs w:val="36"/>
        </w:rPr>
      </w:pPr>
      <w:r>
        <w:rPr>
          <w:rStyle w:val="16"/>
          <w:rFonts w:hint="eastAsia" w:ascii="仿宋_GB2312" w:eastAsia="仿宋_GB2312"/>
          <w:b w:val="0"/>
          <w:bCs w:val="0"/>
          <w:sz w:val="28"/>
          <w:szCs w:val="36"/>
        </w:rPr>
        <w:t>整体支出评价范围：</w:t>
      </w:r>
    </w:p>
    <w:p>
      <w:pPr>
        <w:spacing w:line="360" w:lineRule="auto"/>
        <w:ind w:firstLine="544" w:firstLineChars="200"/>
        <w:rPr>
          <w:rStyle w:val="16"/>
          <w:rFonts w:ascii="仿宋_GB2312" w:hAnsi="楷体" w:eastAsia="仿宋_GB2312"/>
          <w:b w:val="0"/>
          <w:spacing w:val="-4"/>
          <w:sz w:val="28"/>
          <w:szCs w:val="28"/>
        </w:rPr>
      </w:pPr>
      <w:r>
        <w:rPr>
          <w:rStyle w:val="16"/>
          <w:rFonts w:ascii="仿宋_GB2312" w:hAnsi="楷体" w:eastAsia="仿宋_GB2312"/>
          <w:b w:val="0"/>
          <w:spacing w:val="-4"/>
          <w:sz w:val="28"/>
          <w:szCs w:val="28"/>
        </w:rPr>
        <w:fldChar w:fldCharType="begin"/>
      </w:r>
      <w:r>
        <w:rPr>
          <w:rStyle w:val="16"/>
          <w:rFonts w:ascii="仿宋_GB2312" w:hAnsi="楷体" w:eastAsia="仿宋_GB2312"/>
          <w:b w:val="0"/>
          <w:spacing w:val="-4"/>
          <w:sz w:val="28"/>
          <w:szCs w:val="28"/>
        </w:rPr>
        <w:instrText xml:space="preserve"> </w:instrText>
      </w:r>
      <w:r>
        <w:rPr>
          <w:rStyle w:val="16"/>
          <w:rFonts w:hint="eastAsia" w:ascii="仿宋_GB2312" w:hAnsi="楷体" w:eastAsia="仿宋_GB2312"/>
          <w:b w:val="0"/>
          <w:spacing w:val="-4"/>
          <w:sz w:val="28"/>
          <w:szCs w:val="28"/>
        </w:rPr>
        <w:instrText xml:space="preserve">= 1 \* GB3</w:instrText>
      </w:r>
      <w:r>
        <w:rPr>
          <w:rStyle w:val="16"/>
          <w:rFonts w:ascii="仿宋_GB2312" w:hAnsi="楷体" w:eastAsia="仿宋_GB2312"/>
          <w:b w:val="0"/>
          <w:spacing w:val="-4"/>
          <w:sz w:val="28"/>
          <w:szCs w:val="28"/>
        </w:rPr>
        <w:instrText xml:space="preserve"> </w:instrText>
      </w:r>
      <w:r>
        <w:rPr>
          <w:rStyle w:val="16"/>
          <w:rFonts w:ascii="仿宋_GB2312" w:hAnsi="楷体" w:eastAsia="仿宋_GB2312"/>
          <w:b w:val="0"/>
          <w:spacing w:val="-4"/>
          <w:sz w:val="28"/>
          <w:szCs w:val="28"/>
        </w:rPr>
        <w:fldChar w:fldCharType="separate"/>
      </w:r>
      <w:r>
        <w:rPr>
          <w:rStyle w:val="16"/>
          <w:rFonts w:hint="eastAsia" w:ascii="仿宋_GB2312" w:hAnsi="楷体" w:eastAsia="仿宋_GB2312"/>
          <w:b w:val="0"/>
          <w:spacing w:val="-4"/>
          <w:sz w:val="28"/>
          <w:szCs w:val="28"/>
        </w:rPr>
        <w:t>①</w:t>
      </w:r>
      <w:r>
        <w:rPr>
          <w:rStyle w:val="16"/>
          <w:rFonts w:ascii="仿宋_GB2312" w:hAnsi="楷体" w:eastAsia="仿宋_GB2312"/>
          <w:b w:val="0"/>
          <w:spacing w:val="-4"/>
          <w:sz w:val="28"/>
          <w:szCs w:val="28"/>
        </w:rPr>
        <w:fldChar w:fldCharType="end"/>
      </w:r>
      <w:r>
        <w:rPr>
          <w:rStyle w:val="16"/>
          <w:rFonts w:hint="eastAsia" w:ascii="仿宋_GB2312" w:hAnsi="楷体" w:eastAsia="仿宋_GB2312"/>
          <w:b w:val="0"/>
          <w:spacing w:val="-4"/>
          <w:sz w:val="28"/>
          <w:szCs w:val="28"/>
        </w:rPr>
        <w:t>基本支出</w:t>
      </w:r>
      <w:r>
        <w:rPr>
          <w:rStyle w:val="16"/>
          <w:rFonts w:hint="eastAsia" w:ascii="仿宋_GB2312" w:hAnsi="楷体" w:eastAsia="仿宋_GB2312"/>
          <w:b w:val="0"/>
          <w:spacing w:val="-4"/>
          <w:sz w:val="28"/>
          <w:szCs w:val="28"/>
          <w:lang w:val="en-US" w:eastAsia="zh-CN"/>
        </w:rPr>
        <w:t>194.46</w:t>
      </w:r>
      <w:r>
        <w:rPr>
          <w:rStyle w:val="16"/>
          <w:rFonts w:hint="eastAsia" w:ascii="仿宋_GB2312" w:hAnsi="楷体" w:eastAsia="仿宋_GB2312"/>
          <w:b w:val="0"/>
          <w:spacing w:val="-4"/>
          <w:sz w:val="28"/>
          <w:szCs w:val="28"/>
        </w:rPr>
        <w:t>万元，其中：工资福利支出</w:t>
      </w:r>
      <w:r>
        <w:rPr>
          <w:rStyle w:val="16"/>
          <w:rFonts w:hint="eastAsia" w:ascii="仿宋_GB2312" w:hAnsi="楷体" w:eastAsia="仿宋_GB2312"/>
          <w:b w:val="0"/>
          <w:spacing w:val="-4"/>
          <w:sz w:val="28"/>
          <w:szCs w:val="28"/>
          <w:lang w:val="en-US" w:eastAsia="zh-CN"/>
        </w:rPr>
        <w:t>14.13万元</w:t>
      </w:r>
      <w:r>
        <w:rPr>
          <w:rStyle w:val="16"/>
          <w:rFonts w:hint="eastAsia" w:ascii="仿宋_GB2312" w:hAnsi="楷体" w:eastAsia="仿宋_GB2312"/>
          <w:b w:val="0"/>
          <w:spacing w:val="-4"/>
          <w:sz w:val="28"/>
          <w:szCs w:val="28"/>
        </w:rPr>
        <w:t>、商品和服务支出</w:t>
      </w:r>
      <w:r>
        <w:rPr>
          <w:rStyle w:val="16"/>
          <w:rFonts w:hint="eastAsia" w:ascii="仿宋_GB2312" w:hAnsi="楷体" w:eastAsia="仿宋_GB2312"/>
          <w:b w:val="0"/>
          <w:spacing w:val="-4"/>
          <w:sz w:val="28"/>
          <w:szCs w:val="28"/>
          <w:lang w:val="en-US" w:eastAsia="zh-CN"/>
        </w:rPr>
        <w:t>180.33万元</w:t>
      </w:r>
      <w:r>
        <w:rPr>
          <w:rStyle w:val="16"/>
          <w:rFonts w:hint="eastAsia" w:ascii="仿宋_GB2312" w:hAnsi="楷体" w:eastAsia="仿宋_GB2312"/>
          <w:b w:val="0"/>
          <w:spacing w:val="-4"/>
          <w:sz w:val="28"/>
          <w:szCs w:val="28"/>
        </w:rPr>
        <w:t>。</w:t>
      </w:r>
    </w:p>
    <w:p>
      <w:pPr>
        <w:spacing w:line="360" w:lineRule="auto"/>
        <w:ind w:firstLine="492" w:firstLineChars="181"/>
        <w:rPr>
          <w:rStyle w:val="16"/>
          <w:rFonts w:hint="eastAsia" w:ascii="仿宋_GB2312" w:hAnsi="楷体" w:eastAsia="仿宋_GB2312"/>
          <w:b w:val="0"/>
          <w:spacing w:val="-4"/>
          <w:sz w:val="28"/>
          <w:szCs w:val="28"/>
          <w:lang w:eastAsia="zh-CN"/>
        </w:rPr>
      </w:pPr>
      <w:r>
        <w:rPr>
          <w:rStyle w:val="16"/>
          <w:rFonts w:ascii="仿宋_GB2312" w:hAnsi="楷体" w:eastAsia="仿宋_GB2312"/>
          <w:b w:val="0"/>
          <w:spacing w:val="-4"/>
          <w:sz w:val="28"/>
          <w:szCs w:val="28"/>
        </w:rPr>
        <w:fldChar w:fldCharType="begin"/>
      </w:r>
      <w:r>
        <w:rPr>
          <w:rStyle w:val="16"/>
          <w:rFonts w:ascii="仿宋_GB2312" w:hAnsi="楷体" w:eastAsia="仿宋_GB2312"/>
          <w:b w:val="0"/>
          <w:spacing w:val="-4"/>
          <w:sz w:val="28"/>
          <w:szCs w:val="28"/>
        </w:rPr>
        <w:instrText xml:space="preserve"> </w:instrText>
      </w:r>
      <w:r>
        <w:rPr>
          <w:rStyle w:val="16"/>
          <w:rFonts w:hint="eastAsia" w:ascii="仿宋_GB2312" w:hAnsi="楷体" w:eastAsia="仿宋_GB2312"/>
          <w:b w:val="0"/>
          <w:spacing w:val="-4"/>
          <w:sz w:val="28"/>
          <w:szCs w:val="28"/>
        </w:rPr>
        <w:instrText xml:space="preserve">= 2 \* GB3</w:instrText>
      </w:r>
      <w:r>
        <w:rPr>
          <w:rStyle w:val="16"/>
          <w:rFonts w:ascii="仿宋_GB2312" w:hAnsi="楷体" w:eastAsia="仿宋_GB2312"/>
          <w:b w:val="0"/>
          <w:spacing w:val="-4"/>
          <w:sz w:val="28"/>
          <w:szCs w:val="28"/>
        </w:rPr>
        <w:instrText xml:space="preserve"> </w:instrText>
      </w:r>
      <w:r>
        <w:rPr>
          <w:rStyle w:val="16"/>
          <w:rFonts w:ascii="仿宋_GB2312" w:hAnsi="楷体" w:eastAsia="仿宋_GB2312"/>
          <w:b w:val="0"/>
          <w:spacing w:val="-4"/>
          <w:sz w:val="28"/>
          <w:szCs w:val="28"/>
        </w:rPr>
        <w:fldChar w:fldCharType="separate"/>
      </w:r>
      <w:r>
        <w:rPr>
          <w:rStyle w:val="16"/>
          <w:rFonts w:hint="eastAsia" w:ascii="仿宋_GB2312" w:hAnsi="楷体" w:eastAsia="仿宋_GB2312"/>
          <w:b w:val="0"/>
          <w:spacing w:val="-4"/>
          <w:sz w:val="28"/>
          <w:szCs w:val="28"/>
        </w:rPr>
        <w:t>②</w:t>
      </w:r>
      <w:r>
        <w:rPr>
          <w:rStyle w:val="16"/>
          <w:rFonts w:ascii="仿宋_GB2312" w:hAnsi="楷体" w:eastAsia="仿宋_GB2312"/>
          <w:b w:val="0"/>
          <w:spacing w:val="-4"/>
          <w:sz w:val="28"/>
          <w:szCs w:val="28"/>
        </w:rPr>
        <w:fldChar w:fldCharType="end"/>
      </w:r>
      <w:r>
        <w:rPr>
          <w:rStyle w:val="16"/>
          <w:rFonts w:hint="eastAsia" w:ascii="仿宋_GB2312" w:hAnsi="楷体" w:eastAsia="仿宋_GB2312"/>
          <w:b w:val="0"/>
          <w:spacing w:val="-4"/>
          <w:sz w:val="28"/>
          <w:szCs w:val="28"/>
        </w:rPr>
        <w:t>项目支出</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w:t>
      </w:r>
      <w:r>
        <w:rPr>
          <w:rStyle w:val="16"/>
          <w:rFonts w:hint="eastAsia" w:ascii="仿宋_GB2312" w:hAnsi="楷体" w:eastAsia="仿宋_GB2312"/>
          <w:b w:val="0"/>
          <w:spacing w:val="-4"/>
          <w:sz w:val="28"/>
          <w:szCs w:val="28"/>
          <w:lang w:eastAsia="zh-CN"/>
        </w:rPr>
        <w:t>。</w:t>
      </w:r>
    </w:p>
    <w:p>
      <w:pPr>
        <w:spacing w:line="360" w:lineRule="auto"/>
        <w:ind w:firstLine="544" w:firstLineChars="200"/>
        <w:rPr>
          <w:rStyle w:val="16"/>
          <w:rFonts w:ascii="仿宋_GB2312" w:hAnsi="楷体" w:eastAsia="仿宋_GB2312"/>
          <w:b w:val="0"/>
          <w:spacing w:val="-4"/>
          <w:sz w:val="28"/>
          <w:szCs w:val="28"/>
        </w:rPr>
      </w:pPr>
    </w:p>
    <w:p>
      <w:pPr>
        <w:pStyle w:val="3"/>
        <w:spacing w:line="360" w:lineRule="auto"/>
        <w:rPr>
          <w:rFonts w:ascii="仿宋" w:hAnsi="仿宋" w:eastAsia="仿宋"/>
          <w:sz w:val="36"/>
          <w:szCs w:val="36"/>
          <w:lang w:bidi="ar"/>
        </w:rPr>
      </w:pPr>
      <w:bookmarkStart w:id="10" w:name="_Toc70450297"/>
      <w:r>
        <w:rPr>
          <w:rFonts w:hint="eastAsia" w:ascii="仿宋" w:hAnsi="仿宋" w:eastAsia="仿宋"/>
          <w:sz w:val="36"/>
          <w:szCs w:val="36"/>
          <w:lang w:bidi="ar"/>
        </w:rPr>
        <w:t>二、部门单位整体支出管理及使用情况</w:t>
      </w:r>
      <w:bookmarkEnd w:id="10"/>
    </w:p>
    <w:p>
      <w:pPr>
        <w:pStyle w:val="4"/>
        <w:spacing w:line="360" w:lineRule="auto"/>
        <w:rPr>
          <w:rStyle w:val="16"/>
          <w:rFonts w:ascii="仿宋" w:hAnsi="仿宋" w:eastAsia="仿宋"/>
          <w:b/>
          <w:bCs/>
        </w:rPr>
      </w:pPr>
      <w:bookmarkStart w:id="11" w:name="_Toc70450298"/>
      <w:r>
        <w:rPr>
          <w:rStyle w:val="16"/>
          <w:rFonts w:hint="eastAsia" w:ascii="仿宋" w:hAnsi="仿宋" w:eastAsia="仿宋"/>
          <w:b/>
          <w:bCs/>
        </w:rPr>
        <w:t>（一）预算管理</w:t>
      </w:r>
      <w:bookmarkEnd w:id="11"/>
    </w:p>
    <w:p>
      <w:pPr>
        <w:pStyle w:val="5"/>
        <w:spacing w:line="360" w:lineRule="auto"/>
        <w:ind w:firstLine="562" w:firstLineChars="200"/>
        <w:rPr>
          <w:rStyle w:val="16"/>
          <w:rFonts w:ascii="仿宋" w:hAnsi="仿宋" w:eastAsia="仿宋"/>
          <w:b/>
          <w:bCs/>
        </w:rPr>
      </w:pPr>
      <w:bookmarkStart w:id="12" w:name="_Toc70450299"/>
      <w:r>
        <w:rPr>
          <w:rStyle w:val="16"/>
          <w:rFonts w:ascii="仿宋" w:hAnsi="仿宋" w:eastAsia="仿宋"/>
          <w:b/>
          <w:bCs/>
        </w:rPr>
        <w:t>1</w:t>
      </w:r>
      <w:r>
        <w:rPr>
          <w:rStyle w:val="16"/>
          <w:rFonts w:hint="eastAsia" w:ascii="仿宋" w:hAnsi="仿宋" w:eastAsia="仿宋"/>
          <w:b/>
          <w:bCs/>
        </w:rPr>
        <w:t>、预算编制管理</w:t>
      </w:r>
      <w:bookmarkEnd w:id="12"/>
    </w:p>
    <w:p>
      <w:pPr>
        <w:spacing w:line="360" w:lineRule="auto"/>
        <w:ind w:firstLine="506" w:firstLineChars="181"/>
        <w:rPr>
          <w:rStyle w:val="16"/>
          <w:rFonts w:asciiTheme="minorEastAsia" w:hAnsiTheme="minorEastAsia"/>
          <w:color w:val="FF0000"/>
          <w:spacing w:val="-4"/>
          <w:sz w:val="28"/>
          <w:szCs w:val="28"/>
        </w:rPr>
      </w:pPr>
      <w:r>
        <w:rPr>
          <w:rFonts w:hint="eastAsia" w:ascii="仿宋_GB2312" w:eastAsia="仿宋_GB2312"/>
          <w:sz w:val="28"/>
          <w:szCs w:val="36"/>
        </w:rPr>
        <w:t>我单位严格按照财政部门预算编制与预算调整的工作要求，在预算编制、分配依据充分的条件下，切实做好“先定目标再编预算”，确保预算分配结果合理。同时按照</w:t>
      </w:r>
      <w:r>
        <w:rPr>
          <w:rFonts w:hint="eastAsia" w:ascii="仿宋_GB2312" w:eastAsia="仿宋_GB2312"/>
          <w:sz w:val="28"/>
          <w:szCs w:val="36"/>
          <w:lang w:val="en-US" w:eastAsia="zh-CN"/>
        </w:rPr>
        <w:t>同级财政局</w:t>
      </w:r>
      <w:r>
        <w:rPr>
          <w:rFonts w:hint="eastAsia" w:ascii="仿宋_GB2312" w:eastAsia="仿宋_GB2312"/>
          <w:sz w:val="28"/>
          <w:szCs w:val="36"/>
        </w:rPr>
        <w:t>要求，部门预算及绩效目标在政府信息公开</w:t>
      </w:r>
      <w:r>
        <w:rPr>
          <w:rFonts w:hint="eastAsia" w:ascii="仿宋_GB2312" w:eastAsia="仿宋_GB2312"/>
          <w:sz w:val="28"/>
          <w:szCs w:val="36"/>
          <w:lang w:val="en-US" w:eastAsia="zh-CN"/>
        </w:rPr>
        <w:t>网进行</w:t>
      </w:r>
      <w:r>
        <w:rPr>
          <w:rFonts w:hint="eastAsia" w:ascii="仿宋_GB2312" w:eastAsia="仿宋_GB2312"/>
          <w:sz w:val="28"/>
          <w:szCs w:val="36"/>
        </w:rPr>
        <w:t>公开，</w:t>
      </w:r>
      <w:r>
        <w:rPr>
          <w:rFonts w:ascii="仿宋_GB2312" w:eastAsia="仿宋_GB2312"/>
          <w:sz w:val="28"/>
          <w:szCs w:val="36"/>
          <w:lang w:val="zh-CN"/>
        </w:rPr>
        <w:t>广泛接受社会监督</w:t>
      </w:r>
      <w:r>
        <w:rPr>
          <w:rFonts w:hint="eastAsia" w:ascii="仿宋_GB2312" w:eastAsia="仿宋_GB2312"/>
          <w:sz w:val="28"/>
          <w:szCs w:val="36"/>
          <w:lang w:val="zh-CN"/>
        </w:rPr>
        <w:t>。</w:t>
      </w:r>
    </w:p>
    <w:p>
      <w:pPr>
        <w:pStyle w:val="5"/>
        <w:spacing w:line="360" w:lineRule="auto"/>
        <w:ind w:firstLine="562" w:firstLineChars="200"/>
        <w:rPr>
          <w:rStyle w:val="16"/>
          <w:rFonts w:ascii="仿宋" w:hAnsi="仿宋" w:eastAsia="仿宋"/>
          <w:b/>
          <w:bCs/>
        </w:rPr>
      </w:pPr>
      <w:bookmarkStart w:id="13" w:name="_Toc70450300"/>
      <w:r>
        <w:rPr>
          <w:rStyle w:val="16"/>
          <w:rFonts w:hint="eastAsia" w:ascii="仿宋" w:hAnsi="仿宋" w:eastAsia="仿宋"/>
          <w:b/>
          <w:bCs/>
        </w:rPr>
        <w:t>2</w:t>
      </w:r>
      <w:r>
        <w:rPr>
          <w:rStyle w:val="16"/>
          <w:rFonts w:ascii="仿宋" w:hAnsi="仿宋" w:eastAsia="仿宋"/>
          <w:b/>
          <w:bCs/>
        </w:rPr>
        <w:t>、预算</w:t>
      </w:r>
      <w:r>
        <w:rPr>
          <w:rStyle w:val="16"/>
          <w:rFonts w:hint="eastAsia" w:ascii="仿宋" w:hAnsi="仿宋" w:eastAsia="仿宋"/>
          <w:b/>
          <w:bCs/>
        </w:rPr>
        <w:t>支出</w:t>
      </w:r>
      <w:r>
        <w:rPr>
          <w:rStyle w:val="16"/>
          <w:rFonts w:ascii="仿宋" w:hAnsi="仿宋" w:eastAsia="仿宋"/>
          <w:b/>
          <w:bCs/>
        </w:rPr>
        <w:t>管理</w:t>
      </w:r>
      <w:bookmarkEnd w:id="13"/>
    </w:p>
    <w:p>
      <w:pPr>
        <w:spacing w:line="360" w:lineRule="auto"/>
        <w:ind w:firstLine="560" w:firstLineChars="200"/>
        <w:rPr>
          <w:rStyle w:val="16"/>
          <w:b w:val="0"/>
          <w:bCs w:val="0"/>
        </w:rPr>
      </w:pPr>
      <w:r>
        <w:rPr>
          <w:rFonts w:hint="eastAsia" w:ascii="仿宋_GB2312" w:eastAsia="仿宋_GB2312"/>
          <w:sz w:val="28"/>
          <w:szCs w:val="36"/>
        </w:rPr>
        <w:t>我</w:t>
      </w:r>
      <w:r>
        <w:rPr>
          <w:rStyle w:val="16"/>
          <w:rFonts w:hint="eastAsia" w:ascii="仿宋_GB2312" w:hAnsi="楷体" w:eastAsia="仿宋_GB2312"/>
          <w:b w:val="0"/>
          <w:spacing w:val="-4"/>
          <w:sz w:val="28"/>
          <w:szCs w:val="28"/>
          <w:lang w:val="en-US" w:eastAsia="zh-CN"/>
        </w:rPr>
        <w:t>单位</w:t>
      </w:r>
      <w:r>
        <w:rPr>
          <w:rFonts w:hint="eastAsia" w:ascii="仿宋_GB2312" w:eastAsia="仿宋_GB2312"/>
          <w:sz w:val="28"/>
          <w:szCs w:val="36"/>
        </w:rPr>
        <w:t>按照财政要求基本支出分月度申报资金使用计划，由财政部门按照进度每月按期拨付，人员支出按照工资计划发放工资；依照</w:t>
      </w:r>
      <w:r>
        <w:rPr>
          <w:rFonts w:hint="eastAsia" w:ascii="仿宋_GB2312" w:eastAsia="仿宋_GB2312"/>
          <w:sz w:val="28"/>
          <w:szCs w:val="36"/>
          <w:lang w:val="en-US" w:eastAsia="zh-CN"/>
        </w:rPr>
        <w:t>财政局</w:t>
      </w:r>
      <w:r>
        <w:rPr>
          <w:rFonts w:hint="eastAsia" w:ascii="仿宋_GB2312" w:eastAsia="仿宋_GB2312"/>
          <w:sz w:val="28"/>
          <w:szCs w:val="36"/>
        </w:rPr>
        <w:t>《</w:t>
      </w:r>
      <w:r>
        <w:rPr>
          <w:rFonts w:hint="eastAsia" w:ascii="仿宋_GB2312" w:eastAsia="仿宋_GB2312"/>
          <w:sz w:val="28"/>
          <w:szCs w:val="36"/>
          <w:lang w:val="en-US" w:eastAsia="zh-CN"/>
        </w:rPr>
        <w:t>预算管理制度</w:t>
      </w:r>
      <w:r>
        <w:rPr>
          <w:rFonts w:hint="eastAsia" w:ascii="仿宋_GB2312" w:eastAsia="仿宋_GB2312"/>
          <w:sz w:val="28"/>
          <w:szCs w:val="36"/>
        </w:rPr>
        <w:t>》相关规定和</w:t>
      </w:r>
      <w:r>
        <w:rPr>
          <w:rFonts w:hint="eastAsia" w:ascii="仿宋_GB2312" w:eastAsia="仿宋_GB2312"/>
          <w:sz w:val="28"/>
          <w:szCs w:val="36"/>
          <w:lang w:val="en-US" w:eastAsia="zh-CN"/>
        </w:rPr>
        <w:t>特克斯县接待处</w:t>
      </w:r>
      <w:r>
        <w:rPr>
          <w:rFonts w:hint="eastAsia" w:ascii="仿宋_GB2312" w:eastAsia="仿宋_GB2312"/>
          <w:sz w:val="28"/>
          <w:szCs w:val="36"/>
        </w:rPr>
        <w:t>《</w:t>
      </w:r>
      <w:r>
        <w:rPr>
          <w:rFonts w:hint="eastAsia" w:ascii="仿宋_GB2312" w:eastAsia="仿宋_GB2312"/>
          <w:sz w:val="28"/>
          <w:szCs w:val="36"/>
          <w:lang w:val="en-US" w:eastAsia="zh-CN"/>
        </w:rPr>
        <w:t>预算管理制度</w:t>
      </w:r>
      <w:r>
        <w:rPr>
          <w:rFonts w:hint="eastAsia" w:ascii="仿宋_GB2312" w:eastAsia="仿宋_GB2312"/>
          <w:sz w:val="28"/>
          <w:szCs w:val="36"/>
        </w:rPr>
        <w:t>》规定流程，资金支出按照我内控体系中设定的流程申报审批进行；项目支出属于政府采购的，按照</w:t>
      </w:r>
      <w:r>
        <w:rPr>
          <w:rStyle w:val="16"/>
          <w:rFonts w:hint="eastAsia" w:ascii="仿宋_GB2312" w:hAnsi="宋体" w:eastAsia="仿宋_GB2312"/>
          <w:b w:val="0"/>
          <w:color w:val="000000" w:themeColor="text1"/>
          <w:spacing w:val="-4"/>
          <w:sz w:val="28"/>
          <w:szCs w:val="28"/>
          <w14:textFill>
            <w14:solidFill>
              <w14:schemeClr w14:val="tx1"/>
            </w14:solidFill>
          </w14:textFill>
        </w:rPr>
        <w:t>政府采购管理办法</w:t>
      </w:r>
      <w:r>
        <w:rPr>
          <w:rFonts w:hint="eastAsia" w:ascii="仿宋_GB2312" w:eastAsia="仿宋_GB2312"/>
          <w:sz w:val="28"/>
          <w:szCs w:val="36"/>
        </w:rPr>
        <w:t>《采购与招标管理办法》组织人员制定采购计划，按照财政局采购部门批复，进行公开招标、邀请招标等方式进行；属于非政府采购的项目，按照“三重一大”制度规定，重大项目支出上党组会研究决定。</w:t>
      </w:r>
    </w:p>
    <w:p>
      <w:pPr>
        <w:pStyle w:val="4"/>
        <w:spacing w:line="360" w:lineRule="auto"/>
        <w:rPr>
          <w:rStyle w:val="16"/>
          <w:b/>
          <w:bCs/>
          <w:sz w:val="28"/>
          <w:szCs w:val="28"/>
        </w:rPr>
      </w:pPr>
      <w:bookmarkStart w:id="14" w:name="_Toc70450301"/>
      <w:r>
        <w:rPr>
          <w:rStyle w:val="16"/>
          <w:rFonts w:hint="eastAsia"/>
          <w:b/>
          <w:bCs/>
          <w:sz w:val="28"/>
          <w:szCs w:val="28"/>
        </w:rPr>
        <w:t>（二）基本支出管理及使用情况</w:t>
      </w:r>
      <w:bookmarkEnd w:id="14"/>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2021年基本支出预算安排</w:t>
      </w:r>
      <w:r>
        <w:rPr>
          <w:rStyle w:val="16"/>
          <w:rFonts w:hint="eastAsia" w:ascii="仿宋_GB2312" w:hAnsi="楷体" w:eastAsia="仿宋_GB2312"/>
          <w:b w:val="0"/>
          <w:spacing w:val="-4"/>
          <w:sz w:val="28"/>
          <w:szCs w:val="28"/>
          <w:lang w:val="en-US" w:eastAsia="zh-CN"/>
        </w:rPr>
        <w:t>194.46</w:t>
      </w:r>
      <w:r>
        <w:rPr>
          <w:rStyle w:val="16"/>
          <w:rFonts w:hint="eastAsia" w:ascii="仿宋_GB2312" w:hAnsi="楷体" w:eastAsia="仿宋_GB2312"/>
          <w:b w:val="0"/>
          <w:spacing w:val="-4"/>
          <w:sz w:val="28"/>
          <w:szCs w:val="28"/>
        </w:rPr>
        <w:t>万元，实际到位</w:t>
      </w:r>
      <w:r>
        <w:rPr>
          <w:rStyle w:val="16"/>
          <w:rFonts w:hint="eastAsia" w:ascii="仿宋_GB2312" w:hAnsi="楷体" w:eastAsia="仿宋_GB2312"/>
          <w:b w:val="0"/>
          <w:spacing w:val="-4"/>
          <w:sz w:val="28"/>
          <w:szCs w:val="28"/>
          <w:lang w:val="en-US" w:eastAsia="zh-CN"/>
        </w:rPr>
        <w:t>194.46</w:t>
      </w:r>
      <w:r>
        <w:rPr>
          <w:rStyle w:val="16"/>
          <w:rFonts w:hint="eastAsia" w:ascii="仿宋_GB2312" w:hAnsi="楷体" w:eastAsia="仿宋_GB2312"/>
          <w:b w:val="0"/>
          <w:spacing w:val="-4"/>
          <w:sz w:val="28"/>
          <w:szCs w:val="28"/>
        </w:rPr>
        <w:t>万元,实际支出</w:t>
      </w:r>
      <w:r>
        <w:rPr>
          <w:rStyle w:val="16"/>
          <w:rFonts w:hint="eastAsia" w:ascii="仿宋_GB2312" w:hAnsi="楷体" w:eastAsia="仿宋_GB2312"/>
          <w:b w:val="0"/>
          <w:spacing w:val="-4"/>
          <w:sz w:val="28"/>
          <w:szCs w:val="28"/>
          <w:lang w:val="en-US" w:eastAsia="zh-CN"/>
        </w:rPr>
        <w:t>194.46</w:t>
      </w:r>
      <w:r>
        <w:rPr>
          <w:rStyle w:val="16"/>
          <w:rFonts w:hint="eastAsia" w:ascii="仿宋_GB2312" w:hAnsi="楷体" w:eastAsia="仿宋_GB2312"/>
          <w:b w:val="0"/>
          <w:spacing w:val="-4"/>
          <w:sz w:val="28"/>
          <w:szCs w:val="28"/>
        </w:rPr>
        <w:t>万元，占总支出的</w:t>
      </w:r>
      <w:r>
        <w:rPr>
          <w:rStyle w:val="16"/>
          <w:rFonts w:hint="eastAsia" w:ascii="仿宋_GB2312" w:hAnsi="楷体" w:eastAsia="仿宋_GB2312"/>
          <w:b w:val="0"/>
          <w:spacing w:val="-4"/>
          <w:sz w:val="28"/>
          <w:szCs w:val="28"/>
          <w:lang w:val="en-US" w:eastAsia="zh-CN"/>
        </w:rPr>
        <w:t>100</w:t>
      </w:r>
      <w:r>
        <w:rPr>
          <w:rStyle w:val="16"/>
          <w:rFonts w:hint="eastAsia" w:ascii="仿宋_GB2312" w:hAnsi="楷体" w:eastAsia="仿宋_GB2312"/>
          <w:b w:val="0"/>
          <w:spacing w:val="-4"/>
          <w:sz w:val="28"/>
          <w:szCs w:val="28"/>
        </w:rPr>
        <w:t>％，其中：工资福利支出</w:t>
      </w:r>
      <w:r>
        <w:rPr>
          <w:rStyle w:val="16"/>
          <w:rFonts w:hint="eastAsia" w:ascii="仿宋_GB2312" w:hAnsi="楷体" w:eastAsia="仿宋_GB2312"/>
          <w:b w:val="0"/>
          <w:spacing w:val="-4"/>
          <w:sz w:val="28"/>
          <w:szCs w:val="28"/>
          <w:lang w:val="en-US" w:eastAsia="zh-CN"/>
        </w:rPr>
        <w:t>14.13</w:t>
      </w:r>
      <w:r>
        <w:rPr>
          <w:rStyle w:val="16"/>
          <w:rFonts w:hint="eastAsia" w:ascii="仿宋_GB2312" w:hAnsi="楷体" w:eastAsia="仿宋_GB2312"/>
          <w:b w:val="0"/>
          <w:spacing w:val="-4"/>
          <w:sz w:val="28"/>
          <w:szCs w:val="28"/>
        </w:rPr>
        <w:t>万元、商品和服务支出</w:t>
      </w:r>
      <w:r>
        <w:rPr>
          <w:rStyle w:val="16"/>
          <w:rFonts w:hint="eastAsia" w:ascii="仿宋_GB2312" w:hAnsi="楷体" w:eastAsia="仿宋_GB2312"/>
          <w:b w:val="0"/>
          <w:spacing w:val="-4"/>
          <w:sz w:val="28"/>
          <w:szCs w:val="28"/>
          <w:lang w:val="en-US" w:eastAsia="zh-CN"/>
        </w:rPr>
        <w:t>180.33</w:t>
      </w:r>
      <w:r>
        <w:rPr>
          <w:rStyle w:val="16"/>
          <w:rFonts w:hint="eastAsia" w:ascii="仿宋_GB2312" w:hAnsi="楷体" w:eastAsia="仿宋_GB2312"/>
          <w:b w:val="0"/>
          <w:spacing w:val="-4"/>
          <w:sz w:val="28"/>
          <w:szCs w:val="28"/>
        </w:rPr>
        <w:t>万元、对个人和家庭的补助</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万元、资本性支出</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2021年基本支出</w:t>
      </w:r>
      <w:r>
        <w:rPr>
          <w:rStyle w:val="16"/>
          <w:rFonts w:hint="eastAsia" w:ascii="仿宋_GB2312" w:hAnsi="楷体" w:eastAsia="仿宋_GB2312"/>
          <w:b w:val="0"/>
          <w:spacing w:val="-4"/>
          <w:sz w:val="28"/>
          <w:szCs w:val="28"/>
          <w:highlight w:val="none"/>
        </w:rPr>
        <w:t>比上年</w:t>
      </w:r>
      <w:r>
        <w:rPr>
          <w:rStyle w:val="16"/>
          <w:rFonts w:hint="eastAsia" w:ascii="仿宋_GB2312" w:hAnsi="楷体" w:eastAsia="仿宋_GB2312"/>
          <w:b w:val="0"/>
          <w:spacing w:val="-4"/>
          <w:sz w:val="28"/>
          <w:szCs w:val="28"/>
          <w:highlight w:val="none"/>
          <w:lang w:val="en-US" w:eastAsia="zh-CN"/>
        </w:rPr>
        <w:t>225.56</w:t>
      </w:r>
      <w:r>
        <w:rPr>
          <w:rStyle w:val="16"/>
          <w:rFonts w:hint="eastAsia" w:ascii="仿宋_GB2312" w:hAnsi="楷体" w:eastAsia="仿宋_GB2312"/>
          <w:b w:val="0"/>
          <w:spacing w:val="-4"/>
          <w:sz w:val="28"/>
          <w:szCs w:val="28"/>
          <w:highlight w:val="none"/>
        </w:rPr>
        <w:t>万元,减少</w:t>
      </w:r>
      <w:r>
        <w:rPr>
          <w:rStyle w:val="16"/>
          <w:rFonts w:hint="eastAsia" w:ascii="仿宋_GB2312" w:hAnsi="楷体" w:eastAsia="仿宋_GB2312"/>
          <w:b w:val="0"/>
          <w:spacing w:val="-4"/>
          <w:sz w:val="28"/>
          <w:szCs w:val="28"/>
          <w:highlight w:val="none"/>
          <w:lang w:val="en-US" w:eastAsia="zh-CN"/>
        </w:rPr>
        <w:t>31.1</w:t>
      </w:r>
      <w:r>
        <w:rPr>
          <w:rStyle w:val="16"/>
          <w:rFonts w:hint="eastAsia" w:ascii="仿宋_GB2312" w:hAnsi="楷体" w:eastAsia="仿宋_GB2312"/>
          <w:b w:val="0"/>
          <w:spacing w:val="-4"/>
          <w:sz w:val="28"/>
          <w:szCs w:val="28"/>
          <w:highlight w:val="none"/>
        </w:rPr>
        <w:t>万元，下降</w:t>
      </w:r>
      <w:r>
        <w:rPr>
          <w:rStyle w:val="16"/>
          <w:rFonts w:hint="eastAsia" w:ascii="仿宋_GB2312" w:hAnsi="楷体" w:eastAsia="仿宋_GB2312"/>
          <w:b w:val="0"/>
          <w:spacing w:val="-4"/>
          <w:sz w:val="28"/>
          <w:szCs w:val="28"/>
          <w:highlight w:val="none"/>
          <w:lang w:val="en-US" w:eastAsia="zh-CN"/>
        </w:rPr>
        <w:t>13.79</w:t>
      </w:r>
      <w:r>
        <w:rPr>
          <w:rStyle w:val="16"/>
          <w:rFonts w:ascii="仿宋_GB2312" w:hAnsi="宋体" w:eastAsia="仿宋_GB2312"/>
          <w:b w:val="0"/>
          <w:bCs w:val="0"/>
          <w:spacing w:val="-4"/>
          <w:sz w:val="28"/>
          <w:szCs w:val="28"/>
          <w:highlight w:val="none"/>
        </w:rPr>
        <w:t>%</w:t>
      </w:r>
      <w:r>
        <w:rPr>
          <w:rStyle w:val="16"/>
          <w:rFonts w:hint="eastAsia" w:ascii="仿宋_GB2312" w:hAnsi="楷体" w:eastAsia="仿宋_GB2312"/>
          <w:b w:val="0"/>
          <w:spacing w:val="-4"/>
          <w:sz w:val="28"/>
          <w:szCs w:val="28"/>
          <w:highlight w:val="none"/>
        </w:rPr>
        <w:t>，支出减少的主要原因是</w:t>
      </w:r>
      <w:r>
        <w:rPr>
          <w:rStyle w:val="16"/>
          <w:rFonts w:hint="eastAsia" w:ascii="仿宋_GB2312" w:hAnsi="楷体" w:eastAsia="仿宋_GB2312"/>
          <w:b w:val="0"/>
          <w:spacing w:val="-4"/>
          <w:sz w:val="28"/>
          <w:szCs w:val="28"/>
          <w:highlight w:val="none"/>
          <w:lang w:val="en-US" w:eastAsia="zh-CN"/>
        </w:rPr>
        <w:t>人员减少导致工资福利支出监督好</w:t>
      </w:r>
      <w:r>
        <w:rPr>
          <w:rStyle w:val="16"/>
          <w:rFonts w:hint="eastAsia" w:ascii="仿宋_GB2312" w:hAnsi="楷体" w:eastAsia="仿宋_GB2312"/>
          <w:b w:val="0"/>
          <w:spacing w:val="-4"/>
          <w:sz w:val="28"/>
          <w:szCs w:val="28"/>
        </w:rPr>
        <w:t>。</w:t>
      </w:r>
    </w:p>
    <w:p>
      <w:pPr>
        <w:spacing w:line="360" w:lineRule="auto"/>
        <w:ind w:firstLine="492" w:firstLineChars="181"/>
        <w:rPr>
          <w:rStyle w:val="16"/>
          <w:rFonts w:ascii="仿宋_GB2312" w:hAnsi="楷体" w:eastAsia="仿宋_GB2312"/>
          <w:b w:val="0"/>
          <w:spacing w:val="-4"/>
          <w:sz w:val="28"/>
          <w:szCs w:val="28"/>
        </w:rPr>
      </w:pPr>
      <w:r>
        <w:rPr>
          <w:rStyle w:val="16"/>
          <w:rFonts w:ascii="仿宋_GB2312" w:hAnsi="楷体" w:eastAsia="仿宋_GB2312"/>
          <w:b w:val="0"/>
          <w:spacing w:val="-4"/>
          <w:sz w:val="28"/>
          <w:szCs w:val="28"/>
        </w:rPr>
        <w:t>2021</w:t>
      </w:r>
      <w:r>
        <w:rPr>
          <w:rStyle w:val="16"/>
          <w:rFonts w:hint="eastAsia" w:ascii="仿宋_GB2312" w:hAnsi="楷体" w:eastAsia="仿宋_GB2312"/>
          <w:b w:val="0"/>
          <w:spacing w:val="-4"/>
          <w:sz w:val="28"/>
          <w:szCs w:val="28"/>
        </w:rPr>
        <w:t>年一般公共预算“三公”经费数为</w:t>
      </w:r>
      <w:r>
        <w:rPr>
          <w:rStyle w:val="16"/>
          <w:rFonts w:hint="eastAsia" w:ascii="仿宋_GB2312" w:hAnsi="楷体" w:eastAsia="仿宋_GB2312"/>
          <w:b w:val="0"/>
          <w:spacing w:val="-4"/>
          <w:sz w:val="28"/>
          <w:szCs w:val="28"/>
          <w:lang w:val="en-US" w:eastAsia="zh-CN"/>
        </w:rPr>
        <w:t>0.8</w:t>
      </w:r>
      <w:r>
        <w:rPr>
          <w:rStyle w:val="16"/>
          <w:rFonts w:hint="eastAsia" w:ascii="仿宋_GB2312" w:hAnsi="楷体" w:eastAsia="仿宋_GB2312"/>
          <w:b w:val="0"/>
          <w:spacing w:val="-4"/>
          <w:sz w:val="28"/>
          <w:szCs w:val="28"/>
        </w:rPr>
        <w:t>万元，其中：因公出国（境）费</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 xml:space="preserve">万元，公务用车购置 </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万元，公务用车运行费</w:t>
      </w:r>
      <w:r>
        <w:rPr>
          <w:rStyle w:val="16"/>
          <w:rFonts w:hint="eastAsia" w:ascii="仿宋_GB2312" w:hAnsi="楷体" w:eastAsia="仿宋_GB2312"/>
          <w:b w:val="0"/>
          <w:spacing w:val="-4"/>
          <w:sz w:val="28"/>
          <w:szCs w:val="28"/>
          <w:lang w:val="en-US" w:eastAsia="zh-CN"/>
        </w:rPr>
        <w:t>0.8</w:t>
      </w:r>
      <w:r>
        <w:rPr>
          <w:rStyle w:val="16"/>
          <w:rFonts w:hint="eastAsia" w:ascii="仿宋_GB2312" w:hAnsi="楷体" w:eastAsia="仿宋_GB2312"/>
          <w:b w:val="0"/>
          <w:spacing w:val="-4"/>
          <w:sz w:val="28"/>
          <w:szCs w:val="28"/>
        </w:rPr>
        <w:t>元，公务接待费</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w:t>
      </w:r>
    </w:p>
    <w:p>
      <w:pPr>
        <w:spacing w:line="360" w:lineRule="auto"/>
        <w:ind w:firstLine="492" w:firstLineChars="181"/>
        <w:rPr>
          <w:rStyle w:val="16"/>
          <w:rFonts w:ascii="仿宋_GB2312" w:hAnsi="楷体" w:eastAsia="仿宋_GB2312"/>
          <w:b w:val="0"/>
          <w:spacing w:val="-4"/>
          <w:sz w:val="28"/>
          <w:szCs w:val="28"/>
        </w:rPr>
      </w:pPr>
      <w:r>
        <w:rPr>
          <w:rStyle w:val="16"/>
          <w:rFonts w:ascii="仿宋_GB2312" w:hAnsi="楷体" w:eastAsia="仿宋_GB2312"/>
          <w:b w:val="0"/>
          <w:spacing w:val="-4"/>
          <w:sz w:val="28"/>
          <w:szCs w:val="28"/>
        </w:rPr>
        <w:t>2021</w:t>
      </w:r>
      <w:r>
        <w:rPr>
          <w:rStyle w:val="16"/>
          <w:rFonts w:hint="eastAsia" w:ascii="仿宋_GB2312" w:hAnsi="楷体" w:eastAsia="仿宋_GB2312"/>
          <w:b w:val="0"/>
          <w:spacing w:val="-4"/>
          <w:sz w:val="28"/>
          <w:szCs w:val="28"/>
        </w:rPr>
        <w:t>年一般公共预算“三公”经费比上年增加</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万元，其中：因公出国（境）费增加</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w:t>
      </w:r>
      <w:r>
        <w:rPr>
          <w:rStyle w:val="16"/>
          <w:rFonts w:hint="eastAsia" w:ascii="仿宋_GB2312" w:hAnsi="楷体" w:eastAsia="仿宋_GB2312"/>
          <w:b w:val="0"/>
          <w:spacing w:val="-4"/>
          <w:sz w:val="28"/>
          <w:szCs w:val="28"/>
          <w:lang w:eastAsia="zh-CN"/>
        </w:rPr>
        <w:t>，</w:t>
      </w:r>
      <w:r>
        <w:rPr>
          <w:rStyle w:val="16"/>
          <w:rFonts w:hint="eastAsia" w:ascii="仿宋_GB2312" w:hAnsi="楷体" w:eastAsia="仿宋_GB2312"/>
          <w:b w:val="0"/>
          <w:spacing w:val="-4"/>
          <w:sz w:val="28"/>
          <w:szCs w:val="28"/>
        </w:rPr>
        <w:t>未安排预算；公务用车购置费为0，未安排预算；公务用车运行费增加</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w:t>
      </w:r>
      <w:r>
        <w:rPr>
          <w:rStyle w:val="16"/>
          <w:rFonts w:hint="eastAsia" w:ascii="仿宋_GB2312" w:hAnsi="楷体" w:eastAsia="仿宋_GB2312"/>
          <w:b w:val="0"/>
          <w:spacing w:val="-4"/>
          <w:sz w:val="28"/>
          <w:szCs w:val="28"/>
          <w:lang w:val="en-US" w:eastAsia="zh-CN"/>
        </w:rPr>
        <w:t>与上年持平</w:t>
      </w:r>
      <w:r>
        <w:rPr>
          <w:rStyle w:val="16"/>
          <w:rFonts w:hint="eastAsia" w:ascii="仿宋_GB2312" w:hAnsi="楷体" w:eastAsia="仿宋_GB2312"/>
          <w:b w:val="0"/>
          <w:spacing w:val="-4"/>
          <w:sz w:val="28"/>
          <w:szCs w:val="28"/>
        </w:rPr>
        <w:t>；公务接待费增加</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万元，主要原因是</w:t>
      </w:r>
      <w:r>
        <w:rPr>
          <w:rStyle w:val="16"/>
          <w:rFonts w:hint="eastAsia" w:ascii="仿宋_GB2312" w:hAnsi="楷体" w:eastAsia="仿宋_GB2312"/>
          <w:b w:val="0"/>
          <w:spacing w:val="-4"/>
          <w:sz w:val="28"/>
          <w:szCs w:val="28"/>
          <w:lang w:val="en-US" w:eastAsia="zh-CN"/>
        </w:rPr>
        <w:t>接待费预留财政</w:t>
      </w:r>
      <w:r>
        <w:rPr>
          <w:rStyle w:val="16"/>
          <w:rFonts w:hint="eastAsia" w:ascii="仿宋_GB2312" w:hAnsi="楷体" w:eastAsia="仿宋_GB2312"/>
          <w:b w:val="0"/>
          <w:spacing w:val="-4"/>
          <w:sz w:val="28"/>
          <w:szCs w:val="28"/>
        </w:rPr>
        <w:t>。</w:t>
      </w:r>
    </w:p>
    <w:p>
      <w:pPr>
        <w:pStyle w:val="4"/>
        <w:spacing w:line="360" w:lineRule="auto"/>
        <w:rPr>
          <w:rStyle w:val="16"/>
          <w:rFonts w:ascii="仿宋" w:hAnsi="仿宋" w:eastAsia="仿宋"/>
          <w:b/>
          <w:bCs/>
        </w:rPr>
      </w:pPr>
      <w:bookmarkStart w:id="15" w:name="_Toc70450302"/>
      <w:r>
        <w:rPr>
          <w:rStyle w:val="16"/>
          <w:rFonts w:hint="eastAsia" w:ascii="仿宋" w:hAnsi="仿宋" w:eastAsia="仿宋"/>
          <w:b/>
          <w:bCs/>
        </w:rPr>
        <w:t>（三）专项支出管理及使用情况</w:t>
      </w:r>
      <w:bookmarkEnd w:id="15"/>
    </w:p>
    <w:p>
      <w:pPr>
        <w:pStyle w:val="5"/>
        <w:spacing w:line="360" w:lineRule="auto"/>
        <w:ind w:firstLine="562" w:firstLineChars="200"/>
        <w:rPr>
          <w:rStyle w:val="16"/>
          <w:rFonts w:ascii="仿宋" w:hAnsi="仿宋" w:eastAsia="仿宋"/>
          <w:b/>
          <w:bCs/>
        </w:rPr>
      </w:pPr>
      <w:bookmarkStart w:id="16" w:name="_Toc70450303"/>
      <w:r>
        <w:rPr>
          <w:rStyle w:val="16"/>
          <w:rFonts w:hint="eastAsia" w:ascii="仿宋" w:hAnsi="仿宋" w:eastAsia="仿宋"/>
          <w:b/>
          <w:bCs/>
        </w:rPr>
        <w:t>1、专项资金安排落实、总投入等情况分析</w:t>
      </w:r>
      <w:bookmarkEnd w:id="16"/>
    </w:p>
    <w:p>
      <w:pPr>
        <w:spacing w:line="360" w:lineRule="auto"/>
        <w:ind w:firstLine="492" w:firstLineChars="181"/>
        <w:rPr>
          <w:rStyle w:val="16"/>
          <w:rFonts w:hint="default" w:ascii="仿宋_GB2312" w:hAnsi="楷体" w:eastAsia="仿宋_GB2312"/>
          <w:b w:val="0"/>
          <w:spacing w:val="-4"/>
          <w:sz w:val="28"/>
          <w:szCs w:val="28"/>
          <w:lang w:val="en-US"/>
        </w:rPr>
      </w:pPr>
      <w:r>
        <w:rPr>
          <w:rStyle w:val="16"/>
          <w:rFonts w:ascii="仿宋_GB2312" w:hAnsi="楷体" w:eastAsia="仿宋_GB2312"/>
          <w:b w:val="0"/>
          <w:spacing w:val="-4"/>
          <w:sz w:val="28"/>
          <w:szCs w:val="28"/>
        </w:rPr>
        <w:t>2021</w:t>
      </w:r>
      <w:r>
        <w:rPr>
          <w:rStyle w:val="16"/>
          <w:rFonts w:hint="eastAsia" w:ascii="仿宋_GB2312" w:hAnsi="楷体" w:eastAsia="仿宋_GB2312"/>
          <w:b w:val="0"/>
          <w:spacing w:val="-4"/>
          <w:sz w:val="28"/>
          <w:szCs w:val="28"/>
        </w:rPr>
        <w:t>年预算安排专项资金</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万元，实际到位</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w:t>
      </w:r>
      <w:r>
        <w:rPr>
          <w:rFonts w:hint="eastAsia"/>
        </w:rPr>
        <w:t xml:space="preserve"> </w:t>
      </w:r>
      <w:r>
        <w:rPr>
          <w:rStyle w:val="16"/>
          <w:rFonts w:hint="eastAsia" w:ascii="仿宋_GB2312" w:hAnsi="楷体" w:eastAsia="仿宋_GB2312"/>
          <w:b w:val="0"/>
          <w:spacing w:val="-4"/>
          <w:sz w:val="28"/>
          <w:szCs w:val="28"/>
        </w:rPr>
        <w:t>到位率</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％,其中:中央转移支付项目资金</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万元，自治区资金</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 xml:space="preserve">万元，本级安排 </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w:t>
      </w:r>
      <w:r>
        <w:rPr>
          <w:rStyle w:val="16"/>
          <w:rFonts w:hint="eastAsia" w:ascii="仿宋_GB2312" w:hAnsi="楷体" w:eastAsia="仿宋_GB2312"/>
          <w:b w:val="0"/>
          <w:spacing w:val="-4"/>
          <w:sz w:val="28"/>
          <w:szCs w:val="28"/>
          <w:lang w:eastAsia="zh-CN"/>
        </w:rPr>
        <w:t>。</w:t>
      </w:r>
      <w:r>
        <w:rPr>
          <w:rStyle w:val="16"/>
          <w:rFonts w:hint="eastAsia" w:ascii="仿宋_GB2312" w:hAnsi="楷体" w:eastAsia="仿宋_GB2312"/>
          <w:b w:val="0"/>
          <w:spacing w:val="-4"/>
          <w:sz w:val="28"/>
          <w:szCs w:val="28"/>
          <w:lang w:val="en-US" w:eastAsia="zh-CN"/>
        </w:rPr>
        <w:t>2021年我单位无项目。</w:t>
      </w:r>
    </w:p>
    <w:p>
      <w:pPr>
        <w:pStyle w:val="5"/>
        <w:spacing w:line="360" w:lineRule="auto"/>
        <w:ind w:firstLine="562" w:firstLineChars="200"/>
        <w:rPr>
          <w:rStyle w:val="16"/>
          <w:rFonts w:ascii="仿宋" w:hAnsi="仿宋" w:eastAsia="仿宋"/>
          <w:b/>
          <w:bCs/>
        </w:rPr>
      </w:pPr>
      <w:bookmarkStart w:id="17" w:name="_Toc70450304"/>
      <w:r>
        <w:rPr>
          <w:rStyle w:val="16"/>
          <w:rFonts w:hint="eastAsia" w:ascii="仿宋" w:hAnsi="仿宋" w:eastAsia="仿宋"/>
          <w:b/>
          <w:bCs/>
        </w:rPr>
        <w:t>2、专项资金实际使用情况</w:t>
      </w:r>
      <w:bookmarkEnd w:id="17"/>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2021年专项资金支出</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万元，占总支出的</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%，其中2021年专项项目支出比上年</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万元增加</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万元，上升</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w:t>
      </w:r>
      <w:r>
        <w:rPr>
          <w:rStyle w:val="16"/>
          <w:rFonts w:hint="eastAsia" w:ascii="仿宋_GB2312" w:hAnsi="楷体" w:eastAsia="仿宋_GB2312"/>
          <w:b w:val="0"/>
          <w:spacing w:val="-4"/>
          <w:sz w:val="28"/>
          <w:szCs w:val="28"/>
          <w:lang w:val="en-US" w:eastAsia="zh-CN"/>
        </w:rPr>
        <w:t>2021年我单位无项目。</w:t>
      </w:r>
    </w:p>
    <w:p>
      <w:pPr>
        <w:pStyle w:val="5"/>
        <w:numPr>
          <w:ilvl w:val="0"/>
          <w:numId w:val="0"/>
        </w:numPr>
        <w:spacing w:line="360" w:lineRule="auto"/>
        <w:ind w:leftChars="200"/>
        <w:rPr>
          <w:rStyle w:val="16"/>
          <w:rFonts w:hint="eastAsia" w:ascii="仿宋" w:hAnsi="仿宋" w:eastAsia="仿宋"/>
          <w:b/>
          <w:bCs/>
        </w:rPr>
      </w:pPr>
      <w:bookmarkStart w:id="18" w:name="_Toc70450305"/>
      <w:r>
        <w:rPr>
          <w:rStyle w:val="16"/>
          <w:rFonts w:hint="eastAsia" w:ascii="仿宋" w:hAnsi="仿宋" w:eastAsia="仿宋"/>
          <w:b/>
          <w:bCs/>
          <w:lang w:val="en-US" w:eastAsia="zh-CN"/>
        </w:rPr>
        <w:t>3、</w:t>
      </w:r>
      <w:r>
        <w:rPr>
          <w:rStyle w:val="16"/>
          <w:rFonts w:hint="eastAsia" w:ascii="仿宋" w:hAnsi="仿宋" w:eastAsia="仿宋"/>
          <w:b/>
          <w:bCs/>
        </w:rPr>
        <w:t>专项资金管理情况</w:t>
      </w:r>
      <w:bookmarkEnd w:id="18"/>
    </w:p>
    <w:p>
      <w:pPr>
        <w:spacing w:line="360" w:lineRule="auto"/>
        <w:ind w:firstLine="492" w:firstLineChars="181"/>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为规范专项资金使用，提高专项资金使用效益，</w:t>
      </w:r>
      <w:r>
        <w:rPr>
          <w:rStyle w:val="16"/>
          <w:rFonts w:hint="eastAsia" w:ascii="仿宋_GB2312" w:hAnsi="楷体" w:eastAsia="仿宋_GB2312" w:cs="Times New Roman"/>
          <w:b w:val="0"/>
          <w:spacing w:val="-4"/>
          <w:sz w:val="28"/>
          <w:szCs w:val="28"/>
          <w:highlight w:val="none"/>
        </w:rPr>
        <w:t>我单位主要采取四</w:t>
      </w:r>
      <w:r>
        <w:rPr>
          <w:rStyle w:val="16"/>
          <w:rFonts w:hint="eastAsia" w:ascii="仿宋_GB2312" w:hAnsi="楷体" w:eastAsia="仿宋_GB2312"/>
          <w:b w:val="0"/>
          <w:spacing w:val="-4"/>
          <w:sz w:val="28"/>
          <w:szCs w:val="28"/>
          <w:highlight w:val="none"/>
        </w:rPr>
        <w:t>项措施。</w:t>
      </w:r>
    </w:p>
    <w:p>
      <w:pPr>
        <w:spacing w:line="360" w:lineRule="auto"/>
        <w:ind w:firstLine="492" w:firstLineChars="181"/>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一是制订专项资金管理制度；二是各专项资金建立了专帐；三是制订了项目实施方案；四是认真组织项目验收。切实确保专项资金都做到了专款专用。其中：</w:t>
      </w:r>
    </w:p>
    <w:p>
      <w:pPr>
        <w:spacing w:line="360" w:lineRule="auto"/>
        <w:ind w:firstLine="492" w:firstLineChars="181"/>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（1）制定了《</w:t>
      </w:r>
      <w:r>
        <w:rPr>
          <w:rStyle w:val="16"/>
          <w:rFonts w:hint="eastAsia" w:ascii="仿宋_GB2312" w:hAnsi="楷体" w:eastAsia="仿宋_GB2312"/>
          <w:b w:val="0"/>
          <w:spacing w:val="-4"/>
          <w:sz w:val="28"/>
          <w:szCs w:val="28"/>
          <w:highlight w:val="none"/>
          <w:lang w:eastAsia="zh-CN"/>
        </w:rPr>
        <w:t>特克斯县接待处</w:t>
      </w:r>
      <w:r>
        <w:rPr>
          <w:rStyle w:val="16"/>
          <w:rFonts w:hint="eastAsia" w:ascii="仿宋_GB2312" w:hAnsi="楷体" w:eastAsia="仿宋_GB2312"/>
          <w:b w:val="0"/>
          <w:spacing w:val="-4"/>
          <w:sz w:val="28"/>
          <w:szCs w:val="28"/>
          <w:highlight w:val="none"/>
        </w:rPr>
        <w:t>》专项资金管理办法，各项资金使用审批流程均按规定办理。涉及“三重一大”内容，严格按照规定提请局党组会审议决定，包括项目资金分配、重大项目确定、大额资金支付等。</w:t>
      </w:r>
    </w:p>
    <w:p>
      <w:pPr>
        <w:spacing w:line="360" w:lineRule="auto"/>
        <w:ind w:firstLine="492" w:firstLineChars="181"/>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w:t>
      </w:r>
      <w:r>
        <w:rPr>
          <w:rStyle w:val="16"/>
          <w:rFonts w:ascii="仿宋_GB2312" w:hAnsi="楷体" w:eastAsia="仿宋_GB2312"/>
          <w:b w:val="0"/>
          <w:spacing w:val="-4"/>
          <w:sz w:val="28"/>
          <w:szCs w:val="28"/>
          <w:highlight w:val="none"/>
        </w:rPr>
        <w:t>2</w:t>
      </w:r>
      <w:r>
        <w:rPr>
          <w:rStyle w:val="16"/>
          <w:rFonts w:hint="eastAsia" w:ascii="仿宋_GB2312" w:hAnsi="楷体" w:eastAsia="仿宋_GB2312"/>
          <w:b w:val="0"/>
          <w:spacing w:val="-4"/>
          <w:sz w:val="28"/>
          <w:szCs w:val="28"/>
          <w:highlight w:val="none"/>
        </w:rPr>
        <w:t>）建立</w:t>
      </w:r>
      <w:r>
        <w:rPr>
          <w:rStyle w:val="16"/>
          <w:rFonts w:hint="eastAsia" w:ascii="仿宋_GB2312" w:hAnsi="楷体" w:eastAsia="仿宋_GB2312"/>
          <w:b w:val="0"/>
          <w:spacing w:val="-4"/>
          <w:sz w:val="28"/>
          <w:szCs w:val="28"/>
          <w:highlight w:val="none"/>
          <w:lang w:eastAsia="zh-CN"/>
        </w:rPr>
        <w:t>接待处</w:t>
      </w:r>
      <w:r>
        <w:rPr>
          <w:rStyle w:val="16"/>
          <w:rFonts w:hint="eastAsia" w:ascii="仿宋_GB2312" w:hAnsi="楷体" w:eastAsia="仿宋_GB2312"/>
          <w:b w:val="0"/>
          <w:spacing w:val="-4"/>
          <w:sz w:val="28"/>
          <w:szCs w:val="28"/>
          <w:highlight w:val="none"/>
        </w:rPr>
        <w:t>专项资金专帐，做到有据可依，有据可查。</w:t>
      </w:r>
    </w:p>
    <w:p>
      <w:pPr>
        <w:spacing w:line="360" w:lineRule="auto"/>
        <w:ind w:firstLine="492" w:firstLineChars="181"/>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（3）制订了</w:t>
      </w:r>
      <w:r>
        <w:rPr>
          <w:rStyle w:val="16"/>
          <w:rFonts w:hint="eastAsia" w:ascii="仿宋_GB2312" w:hAnsi="楷体" w:eastAsia="仿宋_GB2312"/>
          <w:b w:val="0"/>
          <w:spacing w:val="-4"/>
          <w:sz w:val="28"/>
          <w:szCs w:val="28"/>
          <w:highlight w:val="none"/>
          <w:lang w:eastAsia="zh-CN"/>
        </w:rPr>
        <w:t>特克斯县接待处</w:t>
      </w:r>
      <w:r>
        <w:rPr>
          <w:rStyle w:val="16"/>
          <w:rFonts w:hint="eastAsia" w:ascii="仿宋_GB2312" w:hAnsi="楷体" w:eastAsia="仿宋_GB2312"/>
          <w:b w:val="0"/>
          <w:spacing w:val="-4"/>
          <w:sz w:val="28"/>
          <w:szCs w:val="28"/>
          <w:highlight w:val="none"/>
        </w:rPr>
        <w:t>项目实施方案，确保项目</w:t>
      </w:r>
      <w:r>
        <w:rPr>
          <w:rStyle w:val="16"/>
          <w:rFonts w:hint="eastAsia" w:ascii="仿宋_GB2312" w:hAnsi="楷体" w:eastAsia="仿宋_GB2312"/>
          <w:b w:val="0"/>
          <w:spacing w:val="-4"/>
          <w:sz w:val="28"/>
          <w:szCs w:val="28"/>
          <w:highlight w:val="none"/>
          <w:lang w:eastAsia="zh-CN"/>
        </w:rPr>
        <w:t>顺利实施</w:t>
      </w:r>
      <w:r>
        <w:rPr>
          <w:rStyle w:val="16"/>
          <w:rFonts w:hint="eastAsia" w:ascii="仿宋_GB2312" w:hAnsi="楷体" w:eastAsia="仿宋_GB2312"/>
          <w:b w:val="0"/>
          <w:spacing w:val="-4"/>
          <w:sz w:val="28"/>
          <w:szCs w:val="28"/>
          <w:highlight w:val="none"/>
        </w:rPr>
        <w:t>。</w:t>
      </w:r>
    </w:p>
    <w:p>
      <w:pPr>
        <w:spacing w:line="360" w:lineRule="auto"/>
        <w:ind w:firstLine="492" w:firstLineChars="181"/>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（4）认真组织</w:t>
      </w:r>
      <w:r>
        <w:rPr>
          <w:rStyle w:val="16"/>
          <w:rFonts w:hint="eastAsia" w:ascii="仿宋_GB2312" w:hAnsi="楷体" w:eastAsia="仿宋_GB2312"/>
          <w:b w:val="0"/>
          <w:spacing w:val="-4"/>
          <w:sz w:val="28"/>
          <w:szCs w:val="28"/>
          <w:highlight w:val="none"/>
          <w:lang w:eastAsia="zh-CN"/>
        </w:rPr>
        <w:t>特克斯县接待</w:t>
      </w:r>
      <w:r>
        <w:rPr>
          <w:rStyle w:val="16"/>
          <w:rFonts w:hint="eastAsia" w:ascii="仿宋_GB2312" w:hAnsi="楷体" w:eastAsia="仿宋_GB2312"/>
          <w:b w:val="0"/>
          <w:spacing w:val="-4"/>
          <w:sz w:val="28"/>
          <w:szCs w:val="28"/>
          <w:highlight w:val="none"/>
        </w:rPr>
        <w:t>项目验收，确保</w:t>
      </w:r>
      <w:r>
        <w:rPr>
          <w:rStyle w:val="16"/>
          <w:rFonts w:hint="eastAsia" w:ascii="仿宋_GB2312" w:hAnsi="楷体" w:eastAsia="仿宋_GB2312"/>
          <w:b w:val="0"/>
          <w:spacing w:val="-4"/>
          <w:sz w:val="28"/>
          <w:szCs w:val="28"/>
          <w:highlight w:val="none"/>
          <w:lang w:eastAsia="zh-CN"/>
        </w:rPr>
        <w:t>工作顺利进行</w:t>
      </w:r>
      <w:r>
        <w:rPr>
          <w:rStyle w:val="16"/>
          <w:rFonts w:hint="eastAsia" w:ascii="仿宋_GB2312" w:hAnsi="楷体" w:eastAsia="仿宋_GB2312"/>
          <w:b w:val="0"/>
          <w:spacing w:val="-4"/>
          <w:sz w:val="28"/>
          <w:szCs w:val="28"/>
          <w:highlight w:val="none"/>
        </w:rPr>
        <w:t>。</w:t>
      </w:r>
    </w:p>
    <w:p>
      <w:pPr>
        <w:spacing w:line="360" w:lineRule="auto"/>
        <w:ind w:firstLine="492" w:firstLineChars="181"/>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专项资金涉及政府采购项目的，按照</w:t>
      </w:r>
      <w:r>
        <w:rPr>
          <w:rStyle w:val="16"/>
          <w:rFonts w:hint="eastAsia" w:ascii="仿宋_GB2312" w:hAnsi="楷体" w:eastAsia="仿宋_GB2312"/>
          <w:b w:val="0"/>
          <w:spacing w:val="-4"/>
          <w:sz w:val="28"/>
          <w:szCs w:val="28"/>
          <w:highlight w:val="none"/>
          <w:lang w:eastAsia="zh-CN"/>
        </w:rPr>
        <w:t>处</w:t>
      </w:r>
      <w:r>
        <w:rPr>
          <w:rStyle w:val="16"/>
          <w:rFonts w:hint="eastAsia" w:ascii="仿宋_GB2312" w:hAnsi="楷体" w:eastAsia="仿宋_GB2312"/>
          <w:b w:val="0"/>
          <w:spacing w:val="-4"/>
          <w:sz w:val="28"/>
          <w:szCs w:val="28"/>
          <w:highlight w:val="none"/>
        </w:rPr>
        <w:t>《</w:t>
      </w:r>
      <w:r>
        <w:rPr>
          <w:rStyle w:val="16"/>
          <w:rFonts w:hint="eastAsia" w:ascii="仿宋_GB2312" w:hAnsi="楷体" w:eastAsia="仿宋_GB2312"/>
          <w:b w:val="0"/>
          <w:spacing w:val="-4"/>
          <w:sz w:val="28"/>
          <w:szCs w:val="28"/>
          <w:highlight w:val="none"/>
          <w:lang w:eastAsia="zh-CN"/>
        </w:rPr>
        <w:t>特克斯县接待处</w:t>
      </w:r>
      <w:r>
        <w:rPr>
          <w:rStyle w:val="16"/>
          <w:rFonts w:hint="eastAsia" w:ascii="仿宋_GB2312" w:hAnsi="楷体" w:eastAsia="仿宋_GB2312"/>
          <w:b w:val="0"/>
          <w:spacing w:val="-4"/>
          <w:sz w:val="28"/>
          <w:szCs w:val="28"/>
          <w:highlight w:val="none"/>
        </w:rPr>
        <w:t>采购与招标管理办法》组织人员制定采购计划，按照财政局采购部门批复，进行公开招标、邀请招标等方式进行。</w:t>
      </w:r>
    </w:p>
    <w:p>
      <w:pPr>
        <w:spacing w:line="360" w:lineRule="auto"/>
        <w:ind w:firstLine="492" w:firstLineChars="181"/>
        <w:rPr>
          <w:rStyle w:val="16"/>
          <w:rFonts w:ascii="仿宋_GB2312" w:hAnsi="楷体" w:eastAsia="仿宋_GB2312"/>
          <w:b w:val="0"/>
          <w:spacing w:val="-4"/>
          <w:sz w:val="28"/>
          <w:szCs w:val="28"/>
        </w:rPr>
      </w:pPr>
    </w:p>
    <w:p>
      <w:pPr>
        <w:pStyle w:val="3"/>
        <w:spacing w:line="360" w:lineRule="auto"/>
        <w:rPr>
          <w:rFonts w:ascii="仿宋" w:hAnsi="仿宋" w:eastAsia="仿宋"/>
          <w:sz w:val="36"/>
          <w:szCs w:val="36"/>
          <w:lang w:bidi="ar"/>
        </w:rPr>
      </w:pPr>
      <w:bookmarkStart w:id="19" w:name="_Toc70450306"/>
      <w:r>
        <w:rPr>
          <w:rFonts w:hint="eastAsia" w:ascii="仿宋" w:hAnsi="仿宋" w:eastAsia="仿宋"/>
          <w:sz w:val="36"/>
          <w:szCs w:val="36"/>
          <w:lang w:bidi="ar"/>
        </w:rPr>
        <w:t>三、部门单位专项组织实施情况</w:t>
      </w:r>
      <w:bookmarkEnd w:id="19"/>
    </w:p>
    <w:p>
      <w:pPr>
        <w:spacing w:line="360" w:lineRule="auto"/>
        <w:ind w:firstLine="492" w:firstLineChars="181"/>
        <w:rPr>
          <w:rStyle w:val="16"/>
          <w:rFonts w:hint="eastAsia" w:ascii="仿宋_GB2312" w:hAnsi="楷体" w:eastAsia="仿宋_GB2312" w:cs="Times New Roman"/>
          <w:b w:val="0"/>
          <w:spacing w:val="-4"/>
          <w:sz w:val="28"/>
          <w:szCs w:val="28"/>
          <w:lang w:val="en-US" w:eastAsia="zh-CN"/>
        </w:rPr>
      </w:pPr>
      <w:r>
        <w:rPr>
          <w:rStyle w:val="16"/>
          <w:rFonts w:hint="eastAsia" w:ascii="仿宋_GB2312" w:hAnsi="楷体" w:eastAsia="仿宋_GB2312" w:cs="Times New Roman"/>
          <w:b w:val="0"/>
          <w:spacing w:val="-4"/>
          <w:sz w:val="28"/>
          <w:szCs w:val="28"/>
          <w:lang w:val="en-US" w:eastAsia="zh-CN"/>
        </w:rPr>
        <w:t>本单位2021年度未安排项目支出预算。</w:t>
      </w:r>
    </w:p>
    <w:p>
      <w:pPr>
        <w:ind w:firstLine="544" w:firstLineChars="200"/>
        <w:rPr>
          <w:rStyle w:val="16"/>
          <w:rFonts w:hint="eastAsia" w:ascii="仿宋_GB2312" w:hAnsi="楷体" w:eastAsia="仿宋_GB2312"/>
          <w:b w:val="0"/>
          <w:bCs w:val="0"/>
          <w:spacing w:val="-4"/>
          <w:sz w:val="28"/>
          <w:szCs w:val="28"/>
        </w:rPr>
      </w:pPr>
    </w:p>
    <w:p>
      <w:pPr>
        <w:rPr>
          <w:rFonts w:hint="eastAsia"/>
        </w:rPr>
      </w:pPr>
    </w:p>
    <w:p>
      <w:pPr>
        <w:pStyle w:val="3"/>
        <w:spacing w:line="360" w:lineRule="auto"/>
        <w:rPr>
          <w:rFonts w:ascii="仿宋" w:hAnsi="仿宋" w:eastAsia="仿宋"/>
          <w:sz w:val="36"/>
          <w:szCs w:val="36"/>
          <w:lang w:bidi="ar"/>
        </w:rPr>
      </w:pPr>
      <w:bookmarkStart w:id="20" w:name="_Toc70450310"/>
      <w:r>
        <w:rPr>
          <w:rFonts w:hint="eastAsia" w:ascii="仿宋" w:hAnsi="仿宋" w:eastAsia="仿宋"/>
          <w:sz w:val="36"/>
          <w:szCs w:val="36"/>
          <w:lang w:bidi="ar"/>
        </w:rPr>
        <w:t>四、资产管理情况</w:t>
      </w:r>
      <w:bookmarkEnd w:id="20"/>
    </w:p>
    <w:p>
      <w:pPr>
        <w:pStyle w:val="4"/>
        <w:spacing w:line="360" w:lineRule="auto"/>
        <w:rPr>
          <w:rStyle w:val="16"/>
          <w:rFonts w:ascii="仿宋" w:hAnsi="仿宋" w:eastAsia="仿宋"/>
          <w:b/>
          <w:bCs/>
        </w:rPr>
      </w:pPr>
      <w:bookmarkStart w:id="21" w:name="_Toc70450311"/>
      <w:r>
        <w:rPr>
          <w:rStyle w:val="16"/>
          <w:rFonts w:hint="eastAsia" w:ascii="仿宋" w:hAnsi="仿宋" w:eastAsia="仿宋"/>
          <w:b/>
          <w:bCs/>
        </w:rPr>
        <w:t>（一）资产配置情况</w:t>
      </w:r>
      <w:bookmarkEnd w:id="21"/>
    </w:p>
    <w:p>
      <w:pPr>
        <w:spacing w:line="360" w:lineRule="auto"/>
        <w:ind w:firstLine="544" w:firstLineChars="2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202</w:t>
      </w:r>
      <w:r>
        <w:rPr>
          <w:rStyle w:val="16"/>
          <w:rFonts w:hint="eastAsia" w:ascii="仿宋_GB2312" w:hAnsi="宋体" w:eastAsia="仿宋_GB2312"/>
          <w:b w:val="0"/>
          <w:bCs w:val="0"/>
          <w:spacing w:val="-4"/>
          <w:sz w:val="28"/>
          <w:szCs w:val="28"/>
          <w:lang w:val="en-US" w:eastAsia="zh-CN"/>
        </w:rPr>
        <w:t>2</w:t>
      </w:r>
      <w:r>
        <w:rPr>
          <w:rStyle w:val="16"/>
          <w:rFonts w:hint="eastAsia" w:ascii="仿宋_GB2312" w:hAnsi="宋体" w:eastAsia="仿宋_GB2312"/>
          <w:b w:val="0"/>
          <w:bCs w:val="0"/>
          <w:spacing w:val="-4"/>
          <w:sz w:val="28"/>
          <w:szCs w:val="28"/>
        </w:rPr>
        <w:t>年我</w:t>
      </w:r>
      <w:r>
        <w:rPr>
          <w:rStyle w:val="16"/>
          <w:rFonts w:hint="eastAsia" w:ascii="仿宋_GB2312" w:hAnsi="楷体" w:eastAsia="仿宋_GB2312"/>
          <w:b w:val="0"/>
          <w:spacing w:val="-4"/>
          <w:sz w:val="28"/>
          <w:szCs w:val="28"/>
          <w:lang w:val="en-US" w:eastAsia="zh-CN"/>
        </w:rPr>
        <w:t>单位</w:t>
      </w:r>
      <w:r>
        <w:rPr>
          <w:rStyle w:val="16"/>
          <w:rFonts w:hint="eastAsia" w:ascii="仿宋_GB2312" w:hAnsi="宋体" w:eastAsia="仿宋_GB2312"/>
          <w:b w:val="0"/>
          <w:bCs w:val="0"/>
          <w:spacing w:val="-4"/>
          <w:sz w:val="28"/>
          <w:szCs w:val="28"/>
        </w:rPr>
        <w:t>资产总额</w:t>
      </w:r>
      <w:r>
        <w:rPr>
          <w:rStyle w:val="16"/>
          <w:rFonts w:hint="eastAsia" w:ascii="仿宋_GB2312" w:hAnsi="宋体" w:eastAsia="仿宋_GB2312"/>
          <w:b w:val="0"/>
          <w:bCs w:val="0"/>
          <w:spacing w:val="-4"/>
          <w:sz w:val="28"/>
          <w:szCs w:val="28"/>
          <w:lang w:val="en-US" w:eastAsia="zh-CN"/>
        </w:rPr>
        <w:t>4.01</w:t>
      </w:r>
      <w:r>
        <w:rPr>
          <w:rStyle w:val="16"/>
          <w:rFonts w:hint="eastAsia" w:ascii="仿宋_GB2312" w:hAnsi="宋体" w:eastAsia="仿宋_GB2312"/>
          <w:b w:val="0"/>
          <w:bCs w:val="0"/>
          <w:spacing w:val="-4"/>
          <w:sz w:val="28"/>
          <w:szCs w:val="28"/>
        </w:rPr>
        <w:t>万元，其中流动资产</w:t>
      </w:r>
      <w:r>
        <w:rPr>
          <w:rStyle w:val="16"/>
          <w:rFonts w:hint="eastAsia" w:ascii="仿宋_GB2312" w:hAnsi="宋体" w:eastAsia="仿宋_GB2312"/>
          <w:b w:val="0"/>
          <w:bCs w:val="0"/>
          <w:spacing w:val="-4"/>
          <w:sz w:val="28"/>
          <w:szCs w:val="28"/>
          <w:lang w:val="en-US" w:eastAsia="zh-CN"/>
        </w:rPr>
        <w:t>0</w:t>
      </w:r>
      <w:r>
        <w:rPr>
          <w:rStyle w:val="16"/>
          <w:rFonts w:hint="eastAsia" w:ascii="仿宋_GB2312" w:hAnsi="宋体" w:eastAsia="仿宋_GB2312"/>
          <w:b w:val="0"/>
          <w:bCs w:val="0"/>
          <w:spacing w:val="-4"/>
          <w:sz w:val="28"/>
          <w:szCs w:val="28"/>
        </w:rPr>
        <w:t>万元，固定资产净值</w:t>
      </w:r>
      <w:r>
        <w:rPr>
          <w:rStyle w:val="16"/>
          <w:rFonts w:hint="eastAsia" w:ascii="仿宋_GB2312" w:hAnsi="宋体" w:eastAsia="仿宋_GB2312"/>
          <w:b w:val="0"/>
          <w:bCs w:val="0"/>
          <w:spacing w:val="-4"/>
          <w:sz w:val="28"/>
          <w:szCs w:val="28"/>
          <w:lang w:val="en-US" w:eastAsia="zh-CN"/>
        </w:rPr>
        <w:t>4.01</w:t>
      </w:r>
      <w:r>
        <w:rPr>
          <w:rStyle w:val="16"/>
          <w:rFonts w:hint="eastAsia" w:ascii="仿宋_GB2312" w:hAnsi="宋体" w:eastAsia="仿宋_GB2312"/>
          <w:b w:val="0"/>
          <w:bCs w:val="0"/>
          <w:spacing w:val="-4"/>
          <w:sz w:val="28"/>
          <w:szCs w:val="28"/>
        </w:rPr>
        <w:t>万元（其中：土地、房屋及构筑物</w:t>
      </w:r>
      <w:r>
        <w:rPr>
          <w:rStyle w:val="16"/>
          <w:rFonts w:hint="eastAsia" w:ascii="仿宋_GB2312" w:hAnsi="宋体" w:eastAsia="仿宋_GB2312"/>
          <w:b w:val="0"/>
          <w:bCs w:val="0"/>
          <w:spacing w:val="-4"/>
          <w:sz w:val="28"/>
          <w:szCs w:val="28"/>
          <w:lang w:val="en-US" w:eastAsia="zh-CN"/>
        </w:rPr>
        <w:t>0</w:t>
      </w:r>
      <w:r>
        <w:rPr>
          <w:rStyle w:val="16"/>
          <w:rFonts w:hint="eastAsia" w:ascii="仿宋_GB2312" w:hAnsi="宋体" w:eastAsia="仿宋_GB2312"/>
          <w:b w:val="0"/>
          <w:bCs w:val="0"/>
          <w:spacing w:val="-4"/>
          <w:sz w:val="28"/>
          <w:szCs w:val="28"/>
        </w:rPr>
        <w:t>万元，占固定资产净值的</w:t>
      </w:r>
      <w:r>
        <w:rPr>
          <w:rStyle w:val="16"/>
          <w:rFonts w:hint="eastAsia" w:ascii="仿宋_GB2312" w:hAnsi="宋体" w:eastAsia="仿宋_GB2312"/>
          <w:b w:val="0"/>
          <w:bCs w:val="0"/>
          <w:spacing w:val="-4"/>
          <w:sz w:val="28"/>
          <w:szCs w:val="28"/>
          <w:lang w:val="en-US" w:eastAsia="zh-CN"/>
        </w:rPr>
        <w:t>0</w:t>
      </w:r>
      <w:r>
        <w:rPr>
          <w:rStyle w:val="16"/>
          <w:rFonts w:hint="eastAsia" w:ascii="仿宋_GB2312" w:hAnsi="宋体" w:eastAsia="仿宋_GB2312"/>
          <w:b w:val="0"/>
          <w:bCs w:val="0"/>
          <w:spacing w:val="-4"/>
          <w:sz w:val="28"/>
          <w:szCs w:val="28"/>
        </w:rPr>
        <w:t>%；通用设备</w:t>
      </w:r>
      <w:r>
        <w:rPr>
          <w:rStyle w:val="16"/>
          <w:rFonts w:hint="eastAsia" w:ascii="仿宋_GB2312" w:hAnsi="宋体" w:eastAsia="仿宋_GB2312"/>
          <w:b w:val="0"/>
          <w:bCs w:val="0"/>
          <w:spacing w:val="-4"/>
          <w:sz w:val="28"/>
          <w:szCs w:val="28"/>
          <w:lang w:val="en-US" w:eastAsia="zh-CN"/>
        </w:rPr>
        <w:t>3.74</w:t>
      </w:r>
      <w:r>
        <w:rPr>
          <w:rStyle w:val="16"/>
          <w:rFonts w:hint="eastAsia" w:ascii="仿宋_GB2312" w:hAnsi="宋体" w:eastAsia="仿宋_GB2312"/>
          <w:b w:val="0"/>
          <w:bCs w:val="0"/>
          <w:spacing w:val="-4"/>
          <w:sz w:val="28"/>
          <w:szCs w:val="28"/>
        </w:rPr>
        <w:t>万元，占固定资产净值的</w:t>
      </w:r>
      <w:r>
        <w:rPr>
          <w:rStyle w:val="16"/>
          <w:rFonts w:hint="eastAsia" w:ascii="仿宋_GB2312" w:hAnsi="宋体" w:eastAsia="仿宋_GB2312"/>
          <w:b w:val="0"/>
          <w:bCs w:val="0"/>
          <w:spacing w:val="-4"/>
          <w:sz w:val="28"/>
          <w:szCs w:val="28"/>
          <w:lang w:val="en-US" w:eastAsia="zh-CN"/>
        </w:rPr>
        <w:t>93.27</w:t>
      </w:r>
      <w:r>
        <w:rPr>
          <w:rStyle w:val="16"/>
          <w:rFonts w:hint="eastAsia" w:ascii="仿宋_GB2312" w:hAnsi="宋体" w:eastAsia="仿宋_GB2312"/>
          <w:b w:val="0"/>
          <w:bCs w:val="0"/>
          <w:spacing w:val="-4"/>
          <w:sz w:val="28"/>
          <w:szCs w:val="28"/>
        </w:rPr>
        <w:t>%；专用设备</w:t>
      </w:r>
      <w:r>
        <w:rPr>
          <w:rStyle w:val="16"/>
          <w:rFonts w:hint="eastAsia" w:ascii="仿宋_GB2312" w:hAnsi="宋体" w:eastAsia="仿宋_GB2312"/>
          <w:b w:val="0"/>
          <w:bCs w:val="0"/>
          <w:spacing w:val="-4"/>
          <w:sz w:val="28"/>
          <w:szCs w:val="28"/>
          <w:lang w:val="en-US" w:eastAsia="zh-CN"/>
        </w:rPr>
        <w:t>0</w:t>
      </w:r>
      <w:r>
        <w:rPr>
          <w:rStyle w:val="16"/>
          <w:rFonts w:hint="eastAsia" w:ascii="仿宋_GB2312" w:hAnsi="宋体" w:eastAsia="仿宋_GB2312"/>
          <w:b w:val="0"/>
          <w:bCs w:val="0"/>
          <w:spacing w:val="-4"/>
          <w:sz w:val="28"/>
          <w:szCs w:val="28"/>
        </w:rPr>
        <w:t>万元，占固定资产净值的</w:t>
      </w:r>
      <w:r>
        <w:rPr>
          <w:rStyle w:val="16"/>
          <w:rFonts w:hint="eastAsia" w:ascii="仿宋_GB2312" w:hAnsi="宋体" w:eastAsia="仿宋_GB2312"/>
          <w:b w:val="0"/>
          <w:bCs w:val="0"/>
          <w:spacing w:val="-4"/>
          <w:sz w:val="28"/>
          <w:szCs w:val="28"/>
          <w:lang w:val="en-US" w:eastAsia="zh-CN"/>
        </w:rPr>
        <w:t>0</w:t>
      </w:r>
      <w:r>
        <w:rPr>
          <w:rStyle w:val="16"/>
          <w:rFonts w:hint="eastAsia" w:ascii="仿宋_GB2312" w:hAnsi="宋体" w:eastAsia="仿宋_GB2312"/>
          <w:b w:val="0"/>
          <w:bCs w:val="0"/>
          <w:spacing w:val="-4"/>
          <w:sz w:val="28"/>
          <w:szCs w:val="28"/>
        </w:rPr>
        <w:t>%；其他</w:t>
      </w:r>
      <w:r>
        <w:rPr>
          <w:rStyle w:val="16"/>
          <w:rFonts w:hint="eastAsia" w:ascii="仿宋_GB2312" w:hAnsi="宋体" w:eastAsia="仿宋_GB2312"/>
          <w:b w:val="0"/>
          <w:bCs w:val="0"/>
          <w:spacing w:val="-4"/>
          <w:sz w:val="28"/>
          <w:szCs w:val="28"/>
          <w:lang w:val="en-US" w:eastAsia="zh-CN"/>
        </w:rPr>
        <w:t>0.27万元，</w:t>
      </w:r>
      <w:r>
        <w:rPr>
          <w:rStyle w:val="16"/>
          <w:rFonts w:hint="eastAsia" w:ascii="仿宋_GB2312" w:hAnsi="宋体" w:eastAsia="仿宋_GB2312"/>
          <w:b w:val="0"/>
          <w:bCs w:val="0"/>
          <w:spacing w:val="-4"/>
          <w:sz w:val="28"/>
          <w:szCs w:val="28"/>
        </w:rPr>
        <w:t>占固定资产净值的</w:t>
      </w:r>
      <w:r>
        <w:rPr>
          <w:rStyle w:val="16"/>
          <w:rFonts w:hint="eastAsia" w:ascii="仿宋_GB2312" w:hAnsi="宋体" w:eastAsia="仿宋_GB2312"/>
          <w:b w:val="0"/>
          <w:bCs w:val="0"/>
          <w:spacing w:val="-4"/>
          <w:sz w:val="28"/>
          <w:szCs w:val="28"/>
          <w:lang w:val="en-US" w:eastAsia="zh-CN"/>
        </w:rPr>
        <w:t>6.73</w:t>
      </w:r>
      <w:r>
        <w:rPr>
          <w:rStyle w:val="16"/>
          <w:rFonts w:hint="eastAsia" w:ascii="仿宋_GB2312" w:hAnsi="宋体" w:eastAsia="仿宋_GB2312"/>
          <w:b w:val="0"/>
          <w:bCs w:val="0"/>
          <w:spacing w:val="-4"/>
          <w:sz w:val="28"/>
          <w:szCs w:val="28"/>
        </w:rPr>
        <w:t>%。</w:t>
      </w:r>
    </w:p>
    <w:p>
      <w:pPr>
        <w:spacing w:line="360" w:lineRule="auto"/>
        <w:ind w:firstLine="544" w:firstLineChars="200"/>
        <w:rPr>
          <w:rStyle w:val="16"/>
          <w:rFonts w:hint="default" w:ascii="仿宋_GB2312" w:hAnsi="宋体" w:eastAsia="仿宋_GB2312"/>
          <w:b w:val="0"/>
          <w:bCs w:val="0"/>
          <w:spacing w:val="-4"/>
          <w:sz w:val="28"/>
          <w:szCs w:val="28"/>
          <w:lang w:val="en-US" w:eastAsia="zh-CN"/>
        </w:rPr>
      </w:pPr>
      <w:r>
        <w:rPr>
          <w:rStyle w:val="16"/>
          <w:rFonts w:hint="eastAsia" w:ascii="仿宋_GB2312" w:hAnsi="宋体" w:eastAsia="仿宋_GB2312"/>
          <w:b w:val="0"/>
          <w:bCs w:val="0"/>
          <w:spacing w:val="-4"/>
          <w:sz w:val="28"/>
          <w:szCs w:val="28"/>
        </w:rPr>
        <w:t>本年度流动资产</w:t>
      </w:r>
      <w:r>
        <w:rPr>
          <w:rStyle w:val="16"/>
          <w:rFonts w:hint="eastAsia" w:ascii="仿宋_GB2312" w:hAnsi="宋体" w:eastAsia="仿宋_GB2312"/>
          <w:b w:val="0"/>
          <w:bCs w:val="0"/>
          <w:spacing w:val="-4"/>
          <w:sz w:val="28"/>
          <w:szCs w:val="28"/>
          <w:lang w:val="en-US" w:eastAsia="zh-CN"/>
        </w:rPr>
        <w:t>0</w:t>
      </w:r>
      <w:r>
        <w:rPr>
          <w:rStyle w:val="16"/>
          <w:rFonts w:hint="eastAsia" w:ascii="仿宋_GB2312" w:hAnsi="宋体" w:eastAsia="仿宋_GB2312"/>
          <w:b w:val="0"/>
          <w:bCs w:val="0"/>
          <w:spacing w:val="-4"/>
          <w:sz w:val="28"/>
          <w:szCs w:val="28"/>
        </w:rPr>
        <w:t>万元，比上年增加</w:t>
      </w:r>
      <w:r>
        <w:rPr>
          <w:rStyle w:val="16"/>
          <w:rFonts w:hint="eastAsia" w:ascii="仿宋_GB2312" w:hAnsi="宋体" w:eastAsia="仿宋_GB2312"/>
          <w:b w:val="0"/>
          <w:bCs w:val="0"/>
          <w:spacing w:val="-4"/>
          <w:sz w:val="28"/>
          <w:szCs w:val="28"/>
          <w:lang w:val="en-US" w:eastAsia="zh-CN"/>
        </w:rPr>
        <w:t>0</w:t>
      </w:r>
      <w:r>
        <w:rPr>
          <w:rStyle w:val="16"/>
          <w:rFonts w:hint="eastAsia" w:ascii="仿宋_GB2312" w:hAnsi="宋体" w:eastAsia="仿宋_GB2312"/>
          <w:b w:val="0"/>
          <w:bCs w:val="0"/>
          <w:spacing w:val="-4"/>
          <w:sz w:val="28"/>
          <w:szCs w:val="28"/>
        </w:rPr>
        <w:t>万元。</w:t>
      </w:r>
    </w:p>
    <w:p>
      <w:pPr>
        <w:spacing w:line="360" w:lineRule="auto"/>
        <w:ind w:firstLine="544" w:firstLineChars="2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本年度固定资产</w:t>
      </w:r>
      <w:r>
        <w:rPr>
          <w:rStyle w:val="16"/>
          <w:rFonts w:hint="eastAsia" w:ascii="仿宋_GB2312" w:hAnsi="宋体" w:eastAsia="仿宋_GB2312"/>
          <w:b w:val="0"/>
          <w:bCs w:val="0"/>
          <w:spacing w:val="-4"/>
          <w:sz w:val="28"/>
          <w:szCs w:val="28"/>
          <w:lang w:val="en-US" w:eastAsia="zh-CN"/>
        </w:rPr>
        <w:t>0</w:t>
      </w:r>
      <w:r>
        <w:rPr>
          <w:rStyle w:val="16"/>
          <w:rFonts w:hint="eastAsia" w:ascii="仿宋_GB2312" w:hAnsi="宋体" w:eastAsia="仿宋_GB2312"/>
          <w:b w:val="0"/>
          <w:bCs w:val="0"/>
          <w:spacing w:val="-4"/>
          <w:sz w:val="28"/>
          <w:szCs w:val="28"/>
        </w:rPr>
        <w:t>万元，比上年增加</w:t>
      </w:r>
      <w:r>
        <w:rPr>
          <w:rStyle w:val="16"/>
          <w:rFonts w:hint="eastAsia" w:ascii="仿宋_GB2312" w:hAnsi="宋体" w:eastAsia="仿宋_GB2312"/>
          <w:b w:val="0"/>
          <w:bCs w:val="0"/>
          <w:spacing w:val="-4"/>
          <w:sz w:val="28"/>
          <w:szCs w:val="28"/>
          <w:lang w:val="en-US" w:eastAsia="zh-CN"/>
        </w:rPr>
        <w:t>0</w:t>
      </w:r>
      <w:r>
        <w:rPr>
          <w:rStyle w:val="16"/>
          <w:rFonts w:hint="eastAsia" w:ascii="仿宋_GB2312" w:hAnsi="宋体" w:eastAsia="仿宋_GB2312"/>
          <w:b w:val="0"/>
          <w:bCs w:val="0"/>
          <w:spacing w:val="-4"/>
          <w:sz w:val="28"/>
          <w:szCs w:val="28"/>
        </w:rPr>
        <w:t>万元，原因是：</w:t>
      </w:r>
      <w:r>
        <w:rPr>
          <w:rStyle w:val="16"/>
          <w:rFonts w:hint="eastAsia" w:ascii="仿宋_GB2312" w:hAnsi="宋体" w:eastAsia="仿宋_GB2312"/>
          <w:b w:val="0"/>
          <w:bCs w:val="0"/>
          <w:spacing w:val="-4"/>
          <w:sz w:val="28"/>
          <w:szCs w:val="28"/>
          <w:lang w:val="en-US" w:eastAsia="zh-CN"/>
        </w:rPr>
        <w:t>2021年未购买固定资产</w:t>
      </w:r>
      <w:r>
        <w:rPr>
          <w:rStyle w:val="16"/>
          <w:rFonts w:hint="eastAsia" w:ascii="仿宋_GB2312" w:hAnsi="宋体" w:eastAsia="仿宋_GB2312"/>
          <w:b w:val="0"/>
          <w:bCs w:val="0"/>
          <w:spacing w:val="-4"/>
          <w:sz w:val="28"/>
          <w:szCs w:val="28"/>
        </w:rPr>
        <w:t>。</w:t>
      </w:r>
    </w:p>
    <w:p>
      <w:pPr>
        <w:snapToGrid w:val="0"/>
        <w:spacing w:line="360" w:lineRule="auto"/>
        <w:ind w:firstLine="544" w:firstLineChars="200"/>
        <w:rPr>
          <w:rStyle w:val="16"/>
          <w:rFonts w:ascii="宋体" w:hAnsi="宋体" w:eastAsia="宋体"/>
          <w:bCs w:val="0"/>
          <w:color w:val="FF0000"/>
          <w:spacing w:val="-4"/>
          <w:sz w:val="28"/>
          <w:szCs w:val="28"/>
        </w:rPr>
      </w:pPr>
      <w:r>
        <w:rPr>
          <w:rStyle w:val="16"/>
          <w:rFonts w:hint="eastAsia" w:ascii="仿宋_GB2312" w:hAnsi="宋体" w:eastAsia="仿宋_GB2312"/>
          <w:b w:val="0"/>
          <w:bCs w:val="0"/>
          <w:spacing w:val="-4"/>
          <w:sz w:val="28"/>
          <w:szCs w:val="28"/>
        </w:rPr>
        <w:t>实际在用固定资产</w:t>
      </w:r>
      <w:r>
        <w:rPr>
          <w:rStyle w:val="16"/>
          <w:rFonts w:hint="eastAsia" w:ascii="仿宋_GB2312" w:hAnsi="宋体" w:eastAsia="仿宋_GB2312"/>
          <w:b w:val="0"/>
          <w:bCs w:val="0"/>
          <w:spacing w:val="-4"/>
          <w:sz w:val="28"/>
          <w:szCs w:val="28"/>
          <w:lang w:val="en-US" w:eastAsia="zh-CN"/>
        </w:rPr>
        <w:t>4.01</w:t>
      </w:r>
      <w:r>
        <w:rPr>
          <w:rStyle w:val="16"/>
          <w:rFonts w:hint="eastAsia" w:ascii="仿宋_GB2312" w:hAnsi="宋体" w:eastAsia="仿宋_GB2312"/>
          <w:b w:val="0"/>
          <w:bCs w:val="0"/>
          <w:spacing w:val="-4"/>
          <w:sz w:val="28"/>
          <w:szCs w:val="28"/>
        </w:rPr>
        <w:t>万元，固定资产利用率</w:t>
      </w:r>
      <w:r>
        <w:rPr>
          <w:rStyle w:val="16"/>
          <w:rFonts w:hint="eastAsia" w:ascii="仿宋_GB2312" w:hAnsi="宋体" w:eastAsia="仿宋_GB2312"/>
          <w:b w:val="0"/>
          <w:bCs w:val="0"/>
          <w:spacing w:val="-4"/>
          <w:sz w:val="28"/>
          <w:szCs w:val="28"/>
          <w:lang w:val="en-US" w:eastAsia="zh-CN"/>
        </w:rPr>
        <w:t>100</w:t>
      </w:r>
      <w:r>
        <w:rPr>
          <w:rStyle w:val="16"/>
          <w:rFonts w:hint="eastAsia" w:ascii="仿宋_GB2312" w:hAnsi="宋体" w:eastAsia="仿宋_GB2312"/>
          <w:b w:val="0"/>
          <w:bCs w:val="0"/>
          <w:spacing w:val="-4"/>
          <w:sz w:val="28"/>
          <w:szCs w:val="28"/>
        </w:rPr>
        <w:t>%</w:t>
      </w:r>
      <w:r>
        <w:rPr>
          <w:rStyle w:val="16"/>
          <w:rFonts w:hint="eastAsia" w:ascii="仿宋_GB2312" w:hAnsi="宋体" w:eastAsia="仿宋_GB2312"/>
          <w:b w:val="0"/>
          <w:bCs w:val="0"/>
          <w:spacing w:val="-4"/>
          <w:sz w:val="28"/>
          <w:szCs w:val="28"/>
          <w:lang w:eastAsia="zh-CN"/>
        </w:rPr>
        <w:t>。</w:t>
      </w:r>
    </w:p>
    <w:p>
      <w:pPr>
        <w:pStyle w:val="4"/>
        <w:spacing w:line="360" w:lineRule="auto"/>
        <w:rPr>
          <w:rStyle w:val="16"/>
          <w:rFonts w:ascii="仿宋" w:hAnsi="仿宋" w:eastAsia="仿宋"/>
          <w:b/>
          <w:bCs/>
        </w:rPr>
      </w:pPr>
      <w:bookmarkStart w:id="22" w:name="_Toc70450312"/>
      <w:r>
        <w:rPr>
          <w:rStyle w:val="16"/>
          <w:rFonts w:hint="eastAsia" w:ascii="仿宋" w:hAnsi="仿宋" w:eastAsia="仿宋"/>
          <w:b/>
          <w:bCs/>
        </w:rPr>
        <w:t>（二）资产管理情况</w:t>
      </w:r>
      <w:bookmarkEnd w:id="22"/>
    </w:p>
    <w:p>
      <w:pPr>
        <w:spacing w:line="360" w:lineRule="auto"/>
        <w:ind w:firstLine="544" w:firstLineChars="200"/>
        <w:rPr>
          <w:rStyle w:val="16"/>
          <w:rFonts w:ascii="仿宋_GB2312" w:hAnsi="宋体" w:eastAsia="仿宋_GB2312"/>
          <w:b w:val="0"/>
          <w:color w:val="000000" w:themeColor="text1"/>
          <w:spacing w:val="-4"/>
          <w:sz w:val="28"/>
          <w:szCs w:val="28"/>
          <w14:textFill>
            <w14:solidFill>
              <w14:schemeClr w14:val="tx1"/>
            </w14:solidFill>
          </w14:textFill>
        </w:rPr>
      </w:pPr>
      <w:r>
        <w:rPr>
          <w:rStyle w:val="16"/>
          <w:rFonts w:hint="eastAsia" w:ascii="仿宋_GB2312" w:hAnsi="宋体" w:eastAsia="仿宋_GB2312"/>
          <w:b w:val="0"/>
          <w:color w:val="000000" w:themeColor="text1"/>
          <w:spacing w:val="-4"/>
          <w:sz w:val="28"/>
          <w:szCs w:val="28"/>
          <w14:textFill>
            <w14:solidFill>
              <w14:schemeClr w14:val="tx1"/>
            </w14:solidFill>
          </w14:textFill>
        </w:rP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p>
    <w:p>
      <w:pPr>
        <w:spacing w:line="360" w:lineRule="auto"/>
        <w:ind w:firstLine="544" w:firstLineChars="200"/>
        <w:rPr>
          <w:rStyle w:val="16"/>
          <w:rFonts w:hint="eastAsia" w:ascii="仿宋_GB2312" w:hAnsi="宋体" w:eastAsia="仿宋_GB2312"/>
          <w:b w:val="0"/>
          <w:color w:val="000000" w:themeColor="text1"/>
          <w:spacing w:val="-4"/>
          <w:sz w:val="28"/>
          <w:szCs w:val="28"/>
          <w14:textFill>
            <w14:solidFill>
              <w14:schemeClr w14:val="tx1"/>
            </w14:solidFill>
          </w14:textFill>
        </w:rPr>
      </w:pPr>
      <w:r>
        <w:rPr>
          <w:rStyle w:val="16"/>
          <w:rFonts w:hint="eastAsia" w:ascii="仿宋_GB2312" w:hAnsi="宋体" w:eastAsia="仿宋_GB2312"/>
          <w:b w:val="0"/>
          <w:color w:val="000000" w:themeColor="text1"/>
          <w:spacing w:val="-4"/>
          <w:sz w:val="28"/>
          <w:szCs w:val="28"/>
          <w14:textFill>
            <w14:solidFill>
              <w14:schemeClr w14:val="tx1"/>
            </w14:solidFill>
          </w14:textFill>
        </w:rPr>
        <w:t>2、流动资产根据《行政事业单位资产管理制度》，对货币资金加强管理，统一设立银行存款账户，未经财政主管部门同意不允许单独设立财政监管以外的银行存款账户；预借款管理，按照规定填写《借款单》，经单位负责人审签，由财务负责人签字后报主管财务领导审批，非公务活动一律不得借款，并要求在规定得时间内及时结账。</w:t>
      </w:r>
    </w:p>
    <w:p>
      <w:pPr>
        <w:snapToGrid w:val="0"/>
        <w:spacing w:line="360" w:lineRule="auto"/>
        <w:ind w:firstLine="544" w:firstLineChars="200"/>
        <w:rPr>
          <w:rStyle w:val="16"/>
          <w:rFonts w:ascii="仿宋_GB2312" w:hAnsi="宋体" w:eastAsia="仿宋_GB2312"/>
          <w:b w:val="0"/>
          <w:spacing w:val="-4"/>
          <w:sz w:val="28"/>
          <w:szCs w:val="28"/>
        </w:rPr>
      </w:pPr>
    </w:p>
    <w:p>
      <w:pPr>
        <w:pStyle w:val="3"/>
        <w:spacing w:line="360" w:lineRule="auto"/>
        <w:rPr>
          <w:rFonts w:ascii="仿宋" w:hAnsi="仿宋" w:eastAsia="仿宋"/>
          <w:sz w:val="36"/>
          <w:szCs w:val="36"/>
          <w:lang w:bidi="ar"/>
        </w:rPr>
      </w:pPr>
      <w:bookmarkStart w:id="23" w:name="_Toc70450313"/>
      <w:r>
        <w:rPr>
          <w:rFonts w:hint="eastAsia" w:ascii="仿宋" w:hAnsi="仿宋" w:eastAsia="仿宋"/>
          <w:sz w:val="36"/>
          <w:szCs w:val="36"/>
          <w:lang w:bidi="ar"/>
        </w:rPr>
        <w:t>五、部门单位整体支出绩效情况</w:t>
      </w:r>
      <w:bookmarkEnd w:id="23"/>
    </w:p>
    <w:p>
      <w:pPr>
        <w:pStyle w:val="4"/>
        <w:spacing w:line="360" w:lineRule="auto"/>
        <w:ind w:firstLine="643" w:firstLineChars="200"/>
        <w:rPr>
          <w:rStyle w:val="16"/>
          <w:rFonts w:ascii="仿宋" w:hAnsi="仿宋" w:eastAsia="仿宋"/>
          <w:b/>
          <w:bCs/>
        </w:rPr>
      </w:pPr>
      <w:bookmarkStart w:id="24" w:name="_Toc70450314"/>
      <w:r>
        <w:rPr>
          <w:rStyle w:val="16"/>
          <w:rFonts w:hint="eastAsia" w:ascii="仿宋" w:hAnsi="仿宋" w:eastAsia="仿宋"/>
          <w:b/>
          <w:bCs/>
        </w:rPr>
        <w:t>（一）经济效益评价</w:t>
      </w:r>
      <w:bookmarkEnd w:id="24"/>
    </w:p>
    <w:p>
      <w:pPr>
        <w:spacing w:line="360" w:lineRule="auto"/>
        <w:ind w:firstLine="544" w:firstLineChars="200"/>
        <w:rPr>
          <w:rStyle w:val="16"/>
          <w:rFonts w:ascii="仿宋_GB2312" w:hAnsi="宋体" w:eastAsia="仿宋_GB2312"/>
          <w:b w:val="0"/>
          <w:bCs w:val="0"/>
          <w:spacing w:val="-4"/>
          <w:sz w:val="28"/>
          <w:szCs w:val="28"/>
          <w:highlight w:val="none"/>
        </w:rPr>
      </w:pPr>
      <w:r>
        <w:rPr>
          <w:rStyle w:val="16"/>
          <w:rFonts w:hint="eastAsia" w:ascii="仿宋_GB2312" w:hAnsi="宋体" w:eastAsia="仿宋_GB2312"/>
          <w:b w:val="0"/>
          <w:bCs w:val="0"/>
          <w:spacing w:val="-4"/>
          <w:sz w:val="28"/>
          <w:szCs w:val="28"/>
        </w:rPr>
        <w:t>202</w:t>
      </w:r>
      <w:r>
        <w:rPr>
          <w:rStyle w:val="16"/>
          <w:rFonts w:hint="eastAsia" w:ascii="仿宋_GB2312" w:hAnsi="宋体" w:eastAsia="仿宋_GB2312"/>
          <w:b w:val="0"/>
          <w:bCs w:val="0"/>
          <w:spacing w:val="-4"/>
          <w:sz w:val="28"/>
          <w:szCs w:val="28"/>
          <w:lang w:val="en-US" w:eastAsia="zh-CN"/>
        </w:rPr>
        <w:t>1</w:t>
      </w:r>
      <w:r>
        <w:rPr>
          <w:rStyle w:val="16"/>
          <w:rFonts w:hint="eastAsia" w:ascii="仿宋_GB2312" w:hAnsi="宋体" w:eastAsia="仿宋_GB2312"/>
          <w:b w:val="0"/>
          <w:bCs w:val="0"/>
          <w:spacing w:val="-4"/>
          <w:sz w:val="28"/>
          <w:szCs w:val="28"/>
        </w:rPr>
        <w:t>年度我单位年</w:t>
      </w:r>
      <w:r>
        <w:rPr>
          <w:rStyle w:val="16"/>
          <w:rFonts w:hint="eastAsia" w:ascii="仿宋_GB2312" w:hAnsi="宋体" w:eastAsia="仿宋_GB2312"/>
          <w:b w:val="0"/>
          <w:bCs w:val="0"/>
          <w:spacing w:val="-4"/>
          <w:sz w:val="28"/>
          <w:szCs w:val="28"/>
          <w:highlight w:val="none"/>
        </w:rPr>
        <w:t>初预算安排</w:t>
      </w:r>
      <w:r>
        <w:rPr>
          <w:rStyle w:val="16"/>
          <w:rFonts w:hint="eastAsia" w:ascii="仿宋_GB2312" w:hAnsi="宋体" w:eastAsia="仿宋_GB2312"/>
          <w:b w:val="0"/>
          <w:bCs w:val="0"/>
          <w:spacing w:val="-4"/>
          <w:sz w:val="28"/>
          <w:szCs w:val="28"/>
          <w:highlight w:val="none"/>
          <w:lang w:val="en-US" w:eastAsia="zh-CN"/>
        </w:rPr>
        <w:t>52.51</w:t>
      </w:r>
      <w:r>
        <w:rPr>
          <w:rStyle w:val="16"/>
          <w:rFonts w:hint="eastAsia" w:ascii="仿宋_GB2312" w:hAnsi="宋体" w:eastAsia="仿宋_GB2312"/>
          <w:b w:val="0"/>
          <w:bCs w:val="0"/>
          <w:spacing w:val="-4"/>
          <w:sz w:val="28"/>
          <w:szCs w:val="28"/>
          <w:highlight w:val="none"/>
        </w:rPr>
        <w:t>万元，年中调整</w:t>
      </w:r>
      <w:r>
        <w:rPr>
          <w:rStyle w:val="16"/>
          <w:rFonts w:hint="eastAsia" w:ascii="仿宋_GB2312" w:hAnsi="宋体" w:eastAsia="仿宋_GB2312"/>
          <w:b w:val="0"/>
          <w:bCs w:val="0"/>
          <w:spacing w:val="-4"/>
          <w:sz w:val="28"/>
          <w:szCs w:val="28"/>
          <w:highlight w:val="none"/>
          <w:lang w:val="en-US" w:eastAsia="zh-CN"/>
        </w:rPr>
        <w:t>141.95</w:t>
      </w:r>
      <w:r>
        <w:rPr>
          <w:rStyle w:val="16"/>
          <w:rFonts w:hint="eastAsia" w:ascii="仿宋_GB2312" w:hAnsi="宋体" w:eastAsia="仿宋_GB2312"/>
          <w:b w:val="0"/>
          <w:bCs w:val="0"/>
          <w:spacing w:val="-4"/>
          <w:sz w:val="28"/>
          <w:szCs w:val="28"/>
          <w:highlight w:val="none"/>
        </w:rPr>
        <w:t>万元，截止12月底支出</w:t>
      </w:r>
      <w:r>
        <w:rPr>
          <w:rStyle w:val="16"/>
          <w:rFonts w:hint="eastAsia" w:ascii="仿宋_GB2312" w:hAnsi="宋体" w:eastAsia="仿宋_GB2312"/>
          <w:b w:val="0"/>
          <w:bCs w:val="0"/>
          <w:spacing w:val="-4"/>
          <w:sz w:val="28"/>
          <w:szCs w:val="28"/>
          <w:highlight w:val="none"/>
          <w:lang w:val="en-US" w:eastAsia="zh-CN"/>
        </w:rPr>
        <w:t>194.46</w:t>
      </w:r>
      <w:r>
        <w:rPr>
          <w:rStyle w:val="16"/>
          <w:rFonts w:hint="eastAsia" w:ascii="仿宋_GB2312" w:hAnsi="宋体" w:eastAsia="仿宋_GB2312"/>
          <w:b w:val="0"/>
          <w:bCs w:val="0"/>
          <w:spacing w:val="-4"/>
          <w:sz w:val="28"/>
          <w:szCs w:val="28"/>
          <w:highlight w:val="none"/>
        </w:rPr>
        <w:t>万元，执行率</w:t>
      </w:r>
      <w:r>
        <w:rPr>
          <w:rStyle w:val="16"/>
          <w:rFonts w:hint="eastAsia" w:ascii="仿宋_GB2312" w:hAnsi="宋体" w:eastAsia="仿宋_GB2312"/>
          <w:b w:val="0"/>
          <w:bCs w:val="0"/>
          <w:spacing w:val="-4"/>
          <w:sz w:val="28"/>
          <w:szCs w:val="28"/>
          <w:highlight w:val="none"/>
          <w:lang w:val="en-US" w:eastAsia="zh-CN"/>
        </w:rPr>
        <w:t>100</w:t>
      </w:r>
      <w:r>
        <w:rPr>
          <w:rStyle w:val="16"/>
          <w:rFonts w:hint="eastAsia" w:ascii="仿宋_GB2312" w:hAnsi="宋体" w:eastAsia="仿宋_GB2312"/>
          <w:b w:val="0"/>
          <w:bCs w:val="0"/>
          <w:spacing w:val="-4"/>
          <w:sz w:val="28"/>
          <w:szCs w:val="28"/>
          <w:highlight w:val="none"/>
        </w:rPr>
        <w:t>%。</w:t>
      </w:r>
    </w:p>
    <w:p>
      <w:pPr>
        <w:spacing w:line="360" w:lineRule="auto"/>
        <w:ind w:firstLine="544" w:firstLineChars="200"/>
        <w:rPr>
          <w:rStyle w:val="16"/>
          <w:rFonts w:ascii="仿宋_GB2312" w:hAnsi="宋体" w:eastAsia="仿宋_GB2312"/>
          <w:b w:val="0"/>
          <w:bCs w:val="0"/>
          <w:spacing w:val="-4"/>
          <w:sz w:val="28"/>
          <w:szCs w:val="28"/>
        </w:rPr>
      </w:pPr>
      <w:r>
        <w:rPr>
          <w:rStyle w:val="16"/>
          <w:rFonts w:ascii="仿宋_GB2312" w:hAnsi="宋体" w:eastAsia="仿宋_GB2312"/>
          <w:b w:val="0"/>
          <w:bCs w:val="0"/>
          <w:spacing w:val="-4"/>
          <w:sz w:val="28"/>
          <w:szCs w:val="28"/>
        </w:rPr>
        <w:t>1</w:t>
      </w:r>
      <w:r>
        <w:rPr>
          <w:rStyle w:val="16"/>
          <w:rFonts w:hint="eastAsia" w:ascii="仿宋_GB2312" w:hAnsi="宋体" w:eastAsia="仿宋_GB2312"/>
          <w:b w:val="0"/>
          <w:bCs w:val="0"/>
          <w:spacing w:val="-4"/>
          <w:sz w:val="28"/>
          <w:szCs w:val="28"/>
        </w:rPr>
        <w:t>、预算资金执行过程中均按照年初预算分配情况均做到专款专用，未出现资金侵、挪占情况。</w:t>
      </w:r>
    </w:p>
    <w:p>
      <w:pPr>
        <w:spacing w:line="360" w:lineRule="auto"/>
        <w:ind w:firstLine="544" w:firstLineChars="200"/>
        <w:rPr>
          <w:rStyle w:val="16"/>
          <w:rFonts w:ascii="仿宋_GB2312" w:hAnsi="宋体" w:eastAsia="仿宋_GB2312"/>
          <w:b w:val="0"/>
          <w:bCs w:val="0"/>
          <w:spacing w:val="-4"/>
          <w:sz w:val="28"/>
          <w:szCs w:val="28"/>
        </w:rPr>
      </w:pPr>
      <w:r>
        <w:rPr>
          <w:rStyle w:val="16"/>
          <w:rFonts w:ascii="仿宋_GB2312" w:hAnsi="宋体" w:eastAsia="仿宋_GB2312"/>
          <w:b w:val="0"/>
          <w:bCs w:val="0"/>
          <w:spacing w:val="-4"/>
          <w:sz w:val="28"/>
          <w:szCs w:val="28"/>
        </w:rPr>
        <w:t>2</w:t>
      </w:r>
      <w:r>
        <w:rPr>
          <w:rStyle w:val="16"/>
          <w:rFonts w:hint="eastAsia" w:ascii="仿宋_GB2312" w:hAnsi="宋体" w:eastAsia="仿宋_GB2312"/>
          <w:b w:val="0"/>
          <w:bCs w:val="0"/>
          <w:spacing w:val="-4"/>
          <w:sz w:val="28"/>
          <w:szCs w:val="28"/>
        </w:rPr>
        <w:t>、全年按照部门预算进行成本控制，全部控制在厉行节约指标数内。其他支出按财政部门下达的计划实施，全年没有超支。</w:t>
      </w:r>
    </w:p>
    <w:p>
      <w:pPr>
        <w:pStyle w:val="4"/>
        <w:spacing w:line="360" w:lineRule="auto"/>
        <w:ind w:firstLine="643" w:firstLineChars="200"/>
        <w:rPr>
          <w:rStyle w:val="16"/>
          <w:rFonts w:ascii="仿宋" w:hAnsi="仿宋" w:eastAsia="仿宋"/>
          <w:b/>
          <w:bCs/>
        </w:rPr>
      </w:pPr>
      <w:bookmarkStart w:id="25" w:name="_Toc70450315"/>
      <w:r>
        <w:rPr>
          <w:rStyle w:val="16"/>
          <w:rFonts w:hint="eastAsia" w:ascii="仿宋" w:hAnsi="仿宋" w:eastAsia="仿宋"/>
          <w:b/>
          <w:bCs/>
        </w:rPr>
        <w:t>（二）效率性评价</w:t>
      </w:r>
      <w:bookmarkEnd w:id="25"/>
    </w:p>
    <w:p>
      <w:pPr>
        <w:spacing w:line="360" w:lineRule="auto"/>
        <w:ind w:firstLine="544" w:firstLineChars="2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202</w:t>
      </w:r>
      <w:r>
        <w:rPr>
          <w:rStyle w:val="16"/>
          <w:rFonts w:hint="eastAsia" w:ascii="仿宋_GB2312" w:hAnsi="宋体" w:eastAsia="仿宋_GB2312"/>
          <w:b w:val="0"/>
          <w:bCs w:val="0"/>
          <w:spacing w:val="-4"/>
          <w:sz w:val="28"/>
          <w:szCs w:val="28"/>
          <w:lang w:val="en-US" w:eastAsia="zh-CN"/>
        </w:rPr>
        <w:t>1</w:t>
      </w:r>
      <w:r>
        <w:rPr>
          <w:rStyle w:val="16"/>
          <w:rFonts w:hint="eastAsia" w:ascii="仿宋_GB2312" w:hAnsi="宋体" w:eastAsia="仿宋_GB2312"/>
          <w:b w:val="0"/>
          <w:bCs w:val="0"/>
          <w:spacing w:val="-4"/>
          <w:sz w:val="28"/>
          <w:szCs w:val="28"/>
        </w:rPr>
        <w:t>年，在</w:t>
      </w:r>
      <w:r>
        <w:rPr>
          <w:rStyle w:val="16"/>
          <w:rFonts w:hint="eastAsia" w:ascii="仿宋_GB2312" w:hAnsi="宋体" w:eastAsia="仿宋_GB2312"/>
          <w:b w:val="0"/>
          <w:bCs w:val="0"/>
          <w:spacing w:val="-4"/>
          <w:sz w:val="28"/>
          <w:szCs w:val="28"/>
          <w:lang w:val="en-US" w:eastAsia="zh-CN"/>
        </w:rPr>
        <w:t>特克斯县委、政府</w:t>
      </w:r>
      <w:r>
        <w:rPr>
          <w:rStyle w:val="16"/>
          <w:rFonts w:hint="eastAsia" w:ascii="仿宋_GB2312" w:hAnsi="宋体" w:eastAsia="仿宋_GB2312"/>
          <w:b w:val="0"/>
          <w:bCs w:val="0"/>
          <w:spacing w:val="-4"/>
          <w:sz w:val="28"/>
          <w:szCs w:val="28"/>
        </w:rPr>
        <w:t>的大力支持和</w:t>
      </w:r>
      <w:r>
        <w:rPr>
          <w:rStyle w:val="16"/>
          <w:rFonts w:hint="eastAsia" w:ascii="仿宋_GB2312" w:hAnsi="宋体" w:eastAsia="仿宋_GB2312"/>
          <w:b w:val="0"/>
          <w:bCs w:val="0"/>
          <w:spacing w:val="-4"/>
          <w:sz w:val="28"/>
          <w:szCs w:val="28"/>
          <w:lang w:val="en-US" w:eastAsia="zh-CN"/>
        </w:rPr>
        <w:t>单位负责任人</w:t>
      </w:r>
      <w:r>
        <w:rPr>
          <w:rStyle w:val="16"/>
          <w:rFonts w:hint="eastAsia" w:ascii="仿宋_GB2312" w:hAnsi="宋体" w:eastAsia="仿宋_GB2312"/>
          <w:b w:val="0"/>
          <w:bCs w:val="0"/>
          <w:spacing w:val="-4"/>
          <w:sz w:val="28"/>
          <w:szCs w:val="28"/>
        </w:rPr>
        <w:t>的正确领导下，我</w:t>
      </w:r>
      <w:r>
        <w:rPr>
          <w:rStyle w:val="16"/>
          <w:rFonts w:hint="eastAsia" w:ascii="仿宋_GB2312" w:hAnsi="楷体" w:eastAsia="仿宋_GB2312"/>
          <w:b w:val="0"/>
          <w:spacing w:val="-4"/>
          <w:sz w:val="28"/>
          <w:szCs w:val="28"/>
          <w:lang w:val="en-US" w:eastAsia="zh-CN"/>
        </w:rPr>
        <w:t>单位</w:t>
      </w:r>
      <w:r>
        <w:rPr>
          <w:rStyle w:val="16"/>
          <w:rFonts w:hint="eastAsia" w:ascii="仿宋_GB2312" w:hAnsi="宋体" w:eastAsia="仿宋_GB2312"/>
          <w:b w:val="0"/>
          <w:bCs w:val="0"/>
          <w:spacing w:val="-4"/>
          <w:sz w:val="28"/>
          <w:szCs w:val="28"/>
        </w:rPr>
        <w:t>迎难而上、务实重干，积极推动</w:t>
      </w:r>
      <w:r>
        <w:rPr>
          <w:rStyle w:val="16"/>
          <w:rFonts w:hint="eastAsia" w:ascii="仿宋_GB2312" w:hAnsi="宋体" w:eastAsia="仿宋_GB2312"/>
          <w:b w:val="0"/>
          <w:bCs w:val="0"/>
          <w:spacing w:val="-4"/>
          <w:sz w:val="28"/>
          <w:szCs w:val="28"/>
          <w:lang w:val="en-US" w:eastAsia="zh-CN"/>
        </w:rPr>
        <w:t>接待</w:t>
      </w:r>
      <w:r>
        <w:rPr>
          <w:rStyle w:val="16"/>
          <w:rFonts w:hint="eastAsia" w:ascii="仿宋_GB2312" w:hAnsi="宋体" w:eastAsia="仿宋_GB2312"/>
          <w:b w:val="0"/>
          <w:bCs w:val="0"/>
          <w:spacing w:val="-4"/>
          <w:sz w:val="28"/>
          <w:szCs w:val="28"/>
        </w:rPr>
        <w:t>工作取得了新的进展，为促进经济持续健康发展与社会和谐稳定提供了有力的支撑和保障。</w:t>
      </w:r>
    </w:p>
    <w:p>
      <w:pPr>
        <w:spacing w:line="360" w:lineRule="auto"/>
        <w:ind w:firstLine="544" w:firstLineChars="2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1、圆满完成</w:t>
      </w:r>
      <w:r>
        <w:rPr>
          <w:rStyle w:val="16"/>
          <w:rFonts w:hint="eastAsia" w:ascii="仿宋_GB2312" w:hAnsi="宋体" w:eastAsia="仿宋_GB2312"/>
          <w:b w:val="0"/>
          <w:bCs w:val="0"/>
          <w:spacing w:val="-4"/>
          <w:sz w:val="28"/>
          <w:szCs w:val="28"/>
          <w:lang w:val="en-US" w:eastAsia="zh-CN"/>
        </w:rPr>
        <w:t>2021年全县接待</w:t>
      </w:r>
      <w:r>
        <w:rPr>
          <w:rStyle w:val="16"/>
          <w:rFonts w:hint="eastAsia" w:ascii="仿宋_GB2312" w:hAnsi="宋体" w:eastAsia="仿宋_GB2312"/>
          <w:b w:val="0"/>
          <w:bCs w:val="0"/>
          <w:spacing w:val="-4"/>
          <w:sz w:val="28"/>
          <w:szCs w:val="28"/>
        </w:rPr>
        <w:t>工作</w:t>
      </w:r>
    </w:p>
    <w:p>
      <w:pPr>
        <w:tabs>
          <w:tab w:val="left" w:pos="312"/>
        </w:tabs>
        <w:spacing w:line="360" w:lineRule="auto"/>
        <w:ind w:firstLine="544" w:firstLineChars="2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lang w:val="en-US" w:eastAsia="zh-CN"/>
        </w:rPr>
        <w:t>2021年在县委、政府的大力支持下，在单位负责人的领导下，全处工作人员的全力以赴下，顺利协助县委、政府完成全县性会议、活动、调研等接待工作</w:t>
      </w:r>
      <w:r>
        <w:rPr>
          <w:rStyle w:val="16"/>
          <w:rFonts w:hint="eastAsia" w:ascii="仿宋_GB2312" w:hAnsi="宋体" w:eastAsia="仿宋_GB2312"/>
          <w:b w:val="0"/>
          <w:bCs w:val="0"/>
          <w:spacing w:val="-4"/>
          <w:sz w:val="28"/>
          <w:szCs w:val="28"/>
        </w:rPr>
        <w:t>。</w:t>
      </w:r>
    </w:p>
    <w:p>
      <w:pPr>
        <w:pStyle w:val="20"/>
        <w:numPr>
          <w:ilvl w:val="0"/>
          <w:numId w:val="0"/>
        </w:numPr>
        <w:tabs>
          <w:tab w:val="left" w:pos="312"/>
        </w:tabs>
        <w:spacing w:line="360" w:lineRule="auto"/>
        <w:ind w:leftChars="2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lang w:val="en-US" w:eastAsia="zh-CN"/>
        </w:rPr>
        <w:t>2、接待工作</w:t>
      </w:r>
      <w:r>
        <w:rPr>
          <w:rStyle w:val="16"/>
          <w:rFonts w:hint="eastAsia" w:ascii="仿宋_GB2312" w:hAnsi="宋体" w:eastAsia="仿宋_GB2312"/>
          <w:b w:val="0"/>
          <w:bCs w:val="0"/>
          <w:spacing w:val="-4"/>
          <w:sz w:val="28"/>
          <w:szCs w:val="28"/>
        </w:rPr>
        <w:t>全面达标，</w:t>
      </w:r>
      <w:r>
        <w:rPr>
          <w:rStyle w:val="16"/>
          <w:rFonts w:hint="eastAsia" w:ascii="仿宋_GB2312" w:hAnsi="宋体" w:eastAsia="仿宋_GB2312"/>
          <w:b w:val="0"/>
          <w:bCs w:val="0"/>
          <w:spacing w:val="-4"/>
          <w:sz w:val="28"/>
          <w:szCs w:val="28"/>
          <w:lang w:val="en-US" w:eastAsia="zh-CN"/>
        </w:rPr>
        <w:t>相关部门</w:t>
      </w:r>
      <w:r>
        <w:rPr>
          <w:rStyle w:val="16"/>
          <w:rFonts w:hint="eastAsia" w:ascii="仿宋_GB2312" w:hAnsi="宋体" w:eastAsia="仿宋_GB2312"/>
          <w:b w:val="0"/>
          <w:bCs w:val="0"/>
          <w:spacing w:val="-4"/>
          <w:sz w:val="28"/>
          <w:szCs w:val="28"/>
        </w:rPr>
        <w:t>满意度高</w:t>
      </w:r>
      <w:r>
        <w:rPr>
          <w:rStyle w:val="16"/>
          <w:rFonts w:hint="eastAsia" w:ascii="仿宋_GB2312" w:hAnsi="宋体" w:eastAsia="仿宋_GB2312"/>
          <w:b w:val="0"/>
          <w:bCs w:val="0"/>
          <w:spacing w:val="-4"/>
          <w:sz w:val="28"/>
          <w:szCs w:val="28"/>
          <w:lang w:eastAsia="zh-CN"/>
        </w:rPr>
        <w:t>。</w:t>
      </w:r>
    </w:p>
    <w:p>
      <w:pPr>
        <w:pStyle w:val="20"/>
        <w:keepNext w:val="0"/>
        <w:keepLines w:val="0"/>
        <w:pageBreakBefore w:val="0"/>
        <w:widowControl w:val="0"/>
        <w:numPr>
          <w:ilvl w:val="0"/>
          <w:numId w:val="0"/>
        </w:numPr>
        <w:tabs>
          <w:tab w:val="left" w:pos="312"/>
        </w:tabs>
        <w:kinsoku/>
        <w:wordWrap/>
        <w:overflowPunct/>
        <w:topLinePunct w:val="0"/>
        <w:autoSpaceDE/>
        <w:autoSpaceDN/>
        <w:bidi w:val="0"/>
        <w:adjustRightInd/>
        <w:snapToGrid/>
        <w:spacing w:line="360" w:lineRule="auto"/>
        <w:ind w:leftChars="0" w:firstLine="544" w:firstLineChars="200"/>
        <w:jc w:val="both"/>
        <w:textAlignment w:val="auto"/>
        <w:rPr>
          <w:rStyle w:val="16"/>
          <w:rFonts w:hint="default" w:ascii="仿宋_GB2312" w:hAnsi="宋体" w:eastAsia="仿宋_GB2312"/>
          <w:b w:val="0"/>
          <w:bCs w:val="0"/>
          <w:spacing w:val="-4"/>
          <w:sz w:val="28"/>
          <w:szCs w:val="28"/>
          <w:lang w:val="en-US"/>
        </w:rPr>
      </w:pPr>
      <w:r>
        <w:rPr>
          <w:rStyle w:val="16"/>
          <w:rFonts w:hint="eastAsia" w:ascii="仿宋_GB2312" w:hAnsi="宋体" w:eastAsia="仿宋_GB2312"/>
          <w:b w:val="0"/>
          <w:bCs w:val="0"/>
          <w:spacing w:val="-4"/>
          <w:sz w:val="28"/>
          <w:szCs w:val="28"/>
          <w:lang w:val="en-US" w:eastAsia="zh-CN"/>
        </w:rPr>
        <w:t>2021年接待工作全面达标，符合接待流程，严格执行接待标准，厉行节约行节约，得到相关单位及部门的高度赞扬。</w:t>
      </w:r>
    </w:p>
    <w:p>
      <w:pPr>
        <w:spacing w:line="360" w:lineRule="auto"/>
        <w:ind w:firstLine="544" w:firstLineChars="200"/>
        <w:rPr>
          <w:rStyle w:val="16"/>
          <w:rFonts w:ascii="仿宋_GB2312" w:hAnsi="宋体" w:eastAsia="仿宋_GB2312"/>
          <w:b w:val="0"/>
          <w:bCs w:val="0"/>
          <w:color w:val="000000" w:themeColor="text1"/>
          <w:spacing w:val="-4"/>
          <w:sz w:val="28"/>
          <w:szCs w:val="28"/>
          <w:highlight w:val="none"/>
          <w14:textFill>
            <w14:solidFill>
              <w14:schemeClr w14:val="tx1"/>
            </w14:solidFill>
          </w14:textFill>
        </w:rPr>
      </w:pPr>
      <w:r>
        <w:rPr>
          <w:rStyle w:val="16"/>
          <w:rFonts w:hint="eastAsia" w:ascii="仿宋_GB2312" w:hAnsi="宋体" w:eastAsia="仿宋_GB2312"/>
          <w:b w:val="0"/>
          <w:bCs w:val="0"/>
          <w:color w:val="000000" w:themeColor="text1"/>
          <w:spacing w:val="-4"/>
          <w:sz w:val="28"/>
          <w:szCs w:val="28"/>
          <w14:textFill>
            <w14:solidFill>
              <w14:schemeClr w14:val="tx1"/>
            </w14:solidFill>
          </w14:textFill>
        </w:rPr>
        <w:t>202</w:t>
      </w:r>
      <w:r>
        <w:rPr>
          <w:rStyle w:val="16"/>
          <w:rFonts w:hint="eastAsia" w:ascii="仿宋_GB2312" w:hAnsi="宋体" w:eastAsia="仿宋_GB2312"/>
          <w:b w:val="0"/>
          <w:bCs w:val="0"/>
          <w:color w:val="000000" w:themeColor="text1"/>
          <w:spacing w:val="-4"/>
          <w:sz w:val="28"/>
          <w:szCs w:val="28"/>
          <w:lang w:val="en-US" w:eastAsia="zh-CN"/>
          <w14:textFill>
            <w14:solidFill>
              <w14:schemeClr w14:val="tx1"/>
            </w14:solidFill>
          </w14:textFill>
        </w:rPr>
        <w:t>2</w:t>
      </w:r>
      <w:r>
        <w:rPr>
          <w:rStyle w:val="16"/>
          <w:rFonts w:hint="eastAsia" w:ascii="仿宋_GB2312" w:hAnsi="宋体" w:eastAsia="仿宋_GB2312"/>
          <w:b w:val="0"/>
          <w:bCs w:val="0"/>
          <w:color w:val="000000" w:themeColor="text1"/>
          <w:spacing w:val="-4"/>
          <w:sz w:val="28"/>
          <w:szCs w:val="28"/>
          <w14:textFill>
            <w14:solidFill>
              <w14:schemeClr w14:val="tx1"/>
            </w14:solidFill>
          </w14:textFill>
        </w:rPr>
        <w:t>年部门支出的有效性主要体现在我单位各项工作成效上，一是</w:t>
      </w:r>
      <w:r>
        <w:rPr>
          <w:rStyle w:val="16"/>
          <w:rFonts w:hint="eastAsia" w:ascii="仿宋_GB2312" w:hAnsi="宋体" w:eastAsia="仿宋_GB2312"/>
          <w:b w:val="0"/>
          <w:bCs w:val="0"/>
          <w:color w:val="000000" w:themeColor="text1"/>
          <w:spacing w:val="-4"/>
          <w:sz w:val="28"/>
          <w:szCs w:val="28"/>
          <w:lang w:val="en-US" w:eastAsia="zh-CN"/>
          <w14:textFill>
            <w14:solidFill>
              <w14:schemeClr w14:val="tx1"/>
            </w14:solidFill>
          </w14:textFill>
        </w:rPr>
        <w:t>接待工作</w:t>
      </w:r>
      <w:r>
        <w:rPr>
          <w:rStyle w:val="16"/>
          <w:rFonts w:hint="eastAsia" w:ascii="仿宋_GB2312" w:hAnsi="宋体" w:eastAsia="仿宋_GB2312"/>
          <w:b w:val="0"/>
          <w:bCs w:val="0"/>
          <w:color w:val="000000" w:themeColor="text1"/>
          <w:spacing w:val="-4"/>
          <w:sz w:val="28"/>
          <w:szCs w:val="28"/>
          <w14:textFill>
            <w14:solidFill>
              <w14:schemeClr w14:val="tx1"/>
            </w14:solidFill>
          </w14:textFill>
        </w:rPr>
        <w:t>进一步夯实，二是</w:t>
      </w:r>
      <w:r>
        <w:rPr>
          <w:rStyle w:val="16"/>
          <w:rFonts w:hint="eastAsia" w:ascii="仿宋_GB2312" w:hAnsi="宋体" w:eastAsia="仿宋_GB2312"/>
          <w:b w:val="0"/>
          <w:bCs w:val="0"/>
          <w:color w:val="000000" w:themeColor="text1"/>
          <w:spacing w:val="-4"/>
          <w:sz w:val="28"/>
          <w:szCs w:val="28"/>
          <w:lang w:val="en-US" w:eastAsia="zh-CN"/>
          <w14:textFill>
            <w14:solidFill>
              <w14:schemeClr w14:val="tx1"/>
            </w14:solidFill>
          </w14:textFill>
        </w:rPr>
        <w:t>接待工作</w:t>
      </w:r>
      <w:r>
        <w:rPr>
          <w:rStyle w:val="16"/>
          <w:rFonts w:hint="eastAsia" w:ascii="仿宋_GB2312" w:hAnsi="宋体" w:eastAsia="仿宋_GB2312"/>
          <w:b w:val="0"/>
          <w:bCs w:val="0"/>
          <w:color w:val="000000" w:themeColor="text1"/>
          <w:spacing w:val="-4"/>
          <w:sz w:val="28"/>
          <w:szCs w:val="28"/>
          <w14:textFill>
            <w14:solidFill>
              <w14:schemeClr w14:val="tx1"/>
            </w14:solidFill>
          </w14:textFill>
        </w:rPr>
        <w:t>能力进一步提升，三是</w:t>
      </w:r>
      <w:r>
        <w:rPr>
          <w:rStyle w:val="16"/>
          <w:rFonts w:hint="eastAsia" w:ascii="仿宋_GB2312" w:hAnsi="宋体" w:eastAsia="仿宋_GB2312"/>
          <w:b w:val="0"/>
          <w:bCs w:val="0"/>
          <w:color w:val="000000" w:themeColor="text1"/>
          <w:spacing w:val="-4"/>
          <w:sz w:val="28"/>
          <w:szCs w:val="28"/>
          <w:lang w:val="en-US" w:eastAsia="zh-CN"/>
          <w14:textFill>
            <w14:solidFill>
              <w14:schemeClr w14:val="tx1"/>
            </w14:solidFill>
          </w14:textFill>
        </w:rPr>
        <w:t>接待协调能力</w:t>
      </w:r>
      <w:r>
        <w:rPr>
          <w:rStyle w:val="16"/>
          <w:rFonts w:hint="eastAsia" w:ascii="仿宋_GB2312" w:hAnsi="宋体" w:eastAsia="仿宋_GB2312"/>
          <w:b w:val="0"/>
          <w:bCs w:val="0"/>
          <w:color w:val="000000" w:themeColor="text1"/>
          <w:spacing w:val="-4"/>
          <w:sz w:val="28"/>
          <w:szCs w:val="28"/>
          <w14:textFill>
            <w14:solidFill>
              <w14:schemeClr w14:val="tx1"/>
            </w14:solidFill>
          </w14:textFill>
        </w:rPr>
        <w:t>进一步提高，</w:t>
      </w:r>
      <w:r>
        <w:rPr>
          <w:rStyle w:val="16"/>
          <w:rFonts w:hint="eastAsia" w:ascii="仿宋_GB2312" w:hAnsi="宋体" w:eastAsia="仿宋_GB2312"/>
          <w:b w:val="0"/>
          <w:bCs w:val="0"/>
          <w:color w:val="000000" w:themeColor="text1"/>
          <w:spacing w:val="-4"/>
          <w:sz w:val="28"/>
          <w:szCs w:val="28"/>
          <w:lang w:val="en-US" w:eastAsia="zh-CN"/>
          <w14:textFill>
            <w14:solidFill>
              <w14:schemeClr w14:val="tx1"/>
            </w14:solidFill>
          </w14:textFill>
        </w:rPr>
        <w:t>四</w:t>
      </w:r>
      <w:r>
        <w:rPr>
          <w:rStyle w:val="16"/>
          <w:rFonts w:hint="eastAsia" w:ascii="仿宋_GB2312" w:hAnsi="宋体" w:eastAsia="仿宋_GB2312"/>
          <w:b w:val="0"/>
          <w:bCs w:val="0"/>
          <w:color w:val="000000" w:themeColor="text1"/>
          <w:spacing w:val="-4"/>
          <w:sz w:val="28"/>
          <w:szCs w:val="28"/>
          <w14:textFill>
            <w14:solidFill>
              <w14:schemeClr w14:val="tx1"/>
            </w14:solidFill>
          </w14:textFill>
        </w:rPr>
        <w:t>是</w:t>
      </w:r>
      <w:r>
        <w:rPr>
          <w:rStyle w:val="16"/>
          <w:rFonts w:hint="eastAsia" w:ascii="仿宋_GB2312" w:hAnsi="宋体" w:eastAsia="仿宋_GB2312"/>
          <w:b w:val="0"/>
          <w:bCs w:val="0"/>
          <w:color w:val="000000" w:themeColor="text1"/>
          <w:spacing w:val="-4"/>
          <w:sz w:val="28"/>
          <w:szCs w:val="28"/>
          <w:lang w:val="en-US" w:eastAsia="zh-CN"/>
          <w14:textFill>
            <w14:solidFill>
              <w14:schemeClr w14:val="tx1"/>
            </w14:solidFill>
          </w14:textFill>
        </w:rPr>
        <w:t>接待各项工作</w:t>
      </w:r>
      <w:r>
        <w:rPr>
          <w:rStyle w:val="16"/>
          <w:rFonts w:hint="eastAsia" w:ascii="仿宋_GB2312" w:hAnsi="宋体" w:eastAsia="仿宋_GB2312"/>
          <w:b w:val="0"/>
          <w:bCs w:val="0"/>
          <w:color w:val="000000" w:themeColor="text1"/>
          <w:spacing w:val="-4"/>
          <w:sz w:val="28"/>
          <w:szCs w:val="28"/>
          <w14:textFill>
            <w14:solidFill>
              <w14:schemeClr w14:val="tx1"/>
            </w14:solidFill>
          </w14:textFill>
        </w:rPr>
        <w:t>进一步推进，</w:t>
      </w:r>
      <w:r>
        <w:rPr>
          <w:rStyle w:val="16"/>
          <w:rFonts w:hint="eastAsia" w:ascii="仿宋_GB2312" w:hAnsi="宋体" w:eastAsia="仿宋_GB2312"/>
          <w:b w:val="0"/>
          <w:bCs w:val="0"/>
          <w:color w:val="000000" w:themeColor="text1"/>
          <w:spacing w:val="-4"/>
          <w:sz w:val="28"/>
          <w:szCs w:val="28"/>
          <w:lang w:val="en-US" w:eastAsia="zh-CN"/>
          <w14:textFill>
            <w14:solidFill>
              <w14:schemeClr w14:val="tx1"/>
            </w14:solidFill>
          </w14:textFill>
        </w:rPr>
        <w:t>五</w:t>
      </w:r>
      <w:r>
        <w:rPr>
          <w:rStyle w:val="16"/>
          <w:rFonts w:hint="eastAsia" w:ascii="仿宋_GB2312" w:hAnsi="宋体" w:eastAsia="仿宋_GB2312"/>
          <w:b w:val="0"/>
          <w:bCs w:val="0"/>
          <w:color w:val="000000" w:themeColor="text1"/>
          <w:spacing w:val="-4"/>
          <w:sz w:val="28"/>
          <w:szCs w:val="28"/>
          <w14:textFill>
            <w14:solidFill>
              <w14:schemeClr w14:val="tx1"/>
            </w14:solidFill>
          </w14:textFill>
        </w:rPr>
        <w:t>是</w:t>
      </w:r>
      <w:r>
        <w:rPr>
          <w:rStyle w:val="16"/>
          <w:rFonts w:hint="eastAsia" w:ascii="仿宋_GB2312" w:hAnsi="宋体" w:eastAsia="仿宋_GB2312"/>
          <w:b w:val="0"/>
          <w:bCs w:val="0"/>
          <w:color w:val="000000" w:themeColor="text1"/>
          <w:spacing w:val="-4"/>
          <w:sz w:val="28"/>
          <w:szCs w:val="28"/>
          <w:lang w:val="en-US" w:eastAsia="zh-CN"/>
          <w14:textFill>
            <w14:solidFill>
              <w14:schemeClr w14:val="tx1"/>
            </w14:solidFill>
          </w14:textFill>
        </w:rPr>
        <w:t>促进接待工作水</w:t>
      </w:r>
      <w:r>
        <w:rPr>
          <w:rStyle w:val="16"/>
          <w:rFonts w:hint="eastAsia" w:ascii="仿宋_GB2312" w:hAnsi="宋体" w:eastAsia="仿宋_GB2312"/>
          <w:b w:val="0"/>
          <w:bCs w:val="0"/>
          <w:color w:val="000000" w:themeColor="text1"/>
          <w:spacing w:val="-4"/>
          <w:sz w:val="28"/>
          <w:szCs w:val="28"/>
          <w14:textFill>
            <w14:solidFill>
              <w14:schemeClr w14:val="tx1"/>
            </w14:solidFill>
          </w14:textFill>
        </w:rPr>
        <w:t>平</w:t>
      </w:r>
      <w:r>
        <w:rPr>
          <w:rStyle w:val="16"/>
          <w:rFonts w:hint="eastAsia" w:ascii="仿宋_GB2312" w:hAnsi="宋体" w:eastAsia="仿宋_GB2312"/>
          <w:b w:val="0"/>
          <w:bCs w:val="0"/>
          <w:color w:val="000000" w:themeColor="text1"/>
          <w:spacing w:val="-4"/>
          <w:sz w:val="28"/>
          <w:szCs w:val="28"/>
          <w:highlight w:val="none"/>
          <w14:textFill>
            <w14:solidFill>
              <w14:schemeClr w14:val="tx1"/>
            </w14:solidFill>
          </w14:textFill>
        </w:rPr>
        <w:t>进一步增强，详细情况如下：</w:t>
      </w:r>
    </w:p>
    <w:p>
      <w:pPr>
        <w:snapToGrid w:val="0"/>
        <w:spacing w:line="360" w:lineRule="auto"/>
        <w:ind w:firstLine="544" w:firstLineChars="200"/>
        <w:rPr>
          <w:rStyle w:val="16"/>
          <w:rFonts w:ascii="仿宋_GB2312" w:eastAsia="仿宋_GB2312" w:hAnsiTheme="minorEastAsia"/>
          <w:b w:val="0"/>
          <w:spacing w:val="-4"/>
          <w:sz w:val="28"/>
          <w:szCs w:val="28"/>
          <w:highlight w:val="none"/>
        </w:rPr>
      </w:pPr>
      <w:r>
        <w:rPr>
          <w:rStyle w:val="16"/>
          <w:rFonts w:hint="eastAsia" w:ascii="仿宋_GB2312" w:eastAsia="仿宋_GB2312" w:hAnsiTheme="minorEastAsia"/>
          <w:b w:val="0"/>
          <w:spacing w:val="-4"/>
          <w:sz w:val="28"/>
          <w:szCs w:val="28"/>
          <w:highlight w:val="none"/>
          <w:lang w:val="en-US" w:eastAsia="zh-CN"/>
        </w:rPr>
        <w:t>特克斯县接待处</w:t>
      </w:r>
      <w:r>
        <w:rPr>
          <w:rStyle w:val="16"/>
          <w:rFonts w:hint="eastAsia" w:ascii="仿宋_GB2312" w:eastAsia="仿宋_GB2312" w:hAnsiTheme="minorEastAsia"/>
          <w:b w:val="0"/>
          <w:spacing w:val="-4"/>
          <w:sz w:val="28"/>
          <w:szCs w:val="28"/>
          <w:highlight w:val="none"/>
        </w:rPr>
        <w:t>部门单位整体绩效目标共设置一级指标</w:t>
      </w:r>
      <w:r>
        <w:rPr>
          <w:rStyle w:val="16"/>
          <w:rFonts w:hint="eastAsia" w:ascii="仿宋_GB2312" w:eastAsia="仿宋_GB2312" w:hAnsiTheme="minorEastAsia"/>
          <w:b w:val="0"/>
          <w:spacing w:val="-4"/>
          <w:sz w:val="28"/>
          <w:szCs w:val="28"/>
          <w:highlight w:val="none"/>
          <w:lang w:val="en-US" w:eastAsia="zh-CN"/>
        </w:rPr>
        <w:t>3</w:t>
      </w:r>
      <w:r>
        <w:rPr>
          <w:rStyle w:val="16"/>
          <w:rFonts w:hint="eastAsia" w:ascii="仿宋_GB2312" w:eastAsia="仿宋_GB2312" w:hAnsiTheme="minorEastAsia"/>
          <w:b w:val="0"/>
          <w:spacing w:val="-4"/>
          <w:sz w:val="28"/>
          <w:szCs w:val="28"/>
          <w:highlight w:val="none"/>
        </w:rPr>
        <w:t>个，二级指标</w:t>
      </w:r>
      <w:r>
        <w:rPr>
          <w:rStyle w:val="16"/>
          <w:rFonts w:hint="eastAsia" w:ascii="仿宋_GB2312" w:eastAsia="仿宋_GB2312" w:hAnsiTheme="minorEastAsia"/>
          <w:b w:val="0"/>
          <w:spacing w:val="-4"/>
          <w:sz w:val="28"/>
          <w:szCs w:val="28"/>
          <w:highlight w:val="none"/>
          <w:lang w:val="en-US" w:eastAsia="zh-CN"/>
        </w:rPr>
        <w:t>7</w:t>
      </w:r>
      <w:r>
        <w:rPr>
          <w:rStyle w:val="16"/>
          <w:rFonts w:hint="eastAsia" w:ascii="仿宋_GB2312" w:eastAsia="仿宋_GB2312" w:hAnsiTheme="minorEastAsia"/>
          <w:b w:val="0"/>
          <w:spacing w:val="-4"/>
          <w:sz w:val="28"/>
          <w:szCs w:val="28"/>
          <w:highlight w:val="none"/>
        </w:rPr>
        <w:t>个，三级指标</w:t>
      </w:r>
      <w:r>
        <w:rPr>
          <w:rStyle w:val="16"/>
          <w:rFonts w:hint="eastAsia" w:ascii="仿宋_GB2312" w:eastAsia="仿宋_GB2312" w:hAnsiTheme="minorEastAsia"/>
          <w:b w:val="0"/>
          <w:spacing w:val="-4"/>
          <w:sz w:val="28"/>
          <w:szCs w:val="28"/>
          <w:highlight w:val="none"/>
          <w:lang w:val="en-US" w:eastAsia="zh-CN"/>
        </w:rPr>
        <w:t>13</w:t>
      </w:r>
      <w:r>
        <w:rPr>
          <w:rStyle w:val="16"/>
          <w:rFonts w:hint="eastAsia" w:ascii="仿宋_GB2312" w:eastAsia="仿宋_GB2312" w:hAnsiTheme="minorEastAsia"/>
          <w:b w:val="0"/>
          <w:spacing w:val="-4"/>
          <w:sz w:val="28"/>
          <w:szCs w:val="28"/>
          <w:highlight w:val="none"/>
        </w:rPr>
        <w:t>个，详细说明如下</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ascii="仿宋_GB2312" w:hAnsi="宋体" w:eastAsia="仿宋_GB2312"/>
          <w:b w:val="0"/>
          <w:spacing w:val="-4"/>
          <w:sz w:val="28"/>
          <w:szCs w:val="28"/>
          <w:highlight w:val="none"/>
        </w:rPr>
        <w:t>1</w:t>
      </w:r>
      <w:r>
        <w:rPr>
          <w:rStyle w:val="16"/>
          <w:rFonts w:hint="eastAsia" w:ascii="仿宋_GB2312" w:hAnsi="宋体" w:eastAsia="仿宋_GB2312"/>
          <w:b w:val="0"/>
          <w:spacing w:val="-4"/>
          <w:sz w:val="28"/>
          <w:szCs w:val="28"/>
          <w:highlight w:val="none"/>
        </w:rPr>
        <w:t>、数量指标：</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rPr>
        <w:t>指标1：</w:t>
      </w:r>
      <w:r>
        <w:rPr>
          <w:rStyle w:val="16"/>
          <w:rFonts w:hint="eastAsia" w:ascii="仿宋_GB2312" w:hAnsi="宋体" w:eastAsia="仿宋_GB2312"/>
          <w:b w:val="0"/>
          <w:spacing w:val="-4"/>
          <w:sz w:val="28"/>
          <w:szCs w:val="28"/>
          <w:highlight w:val="none"/>
          <w:lang w:val="en-US" w:eastAsia="zh-CN"/>
        </w:rPr>
        <w:t>保障在职人数</w:t>
      </w:r>
      <w:r>
        <w:rPr>
          <w:rStyle w:val="16"/>
          <w:rFonts w:hint="eastAsia" w:ascii="仿宋_GB2312" w:hAnsi="宋体" w:eastAsia="仿宋_GB2312"/>
          <w:b w:val="0"/>
          <w:spacing w:val="-4"/>
          <w:sz w:val="28"/>
          <w:szCs w:val="28"/>
          <w:highlight w:val="none"/>
        </w:rPr>
        <w:t>，指标值：</w:t>
      </w:r>
      <w:r>
        <w:rPr>
          <w:rStyle w:val="16"/>
          <w:rFonts w:hint="eastAsia" w:ascii="仿宋_GB2312" w:hAnsi="宋体" w:eastAsia="仿宋_GB2312"/>
          <w:b w:val="0"/>
          <w:spacing w:val="-4"/>
          <w:sz w:val="28"/>
          <w:szCs w:val="28"/>
          <w:highlight w:val="none"/>
          <w:lang w:val="en-US" w:eastAsia="zh-CN"/>
        </w:rPr>
        <w:t>≧4人，</w:t>
      </w:r>
      <w:r>
        <w:rPr>
          <w:rStyle w:val="16"/>
          <w:rFonts w:hint="eastAsia" w:ascii="仿宋_GB2312" w:hAnsi="宋体" w:eastAsia="仿宋_GB2312"/>
          <w:b w:val="0"/>
          <w:spacing w:val="-4"/>
          <w:sz w:val="28"/>
          <w:szCs w:val="28"/>
          <w:highlight w:val="none"/>
        </w:rPr>
        <w:t>实际完成值：</w:t>
      </w:r>
      <w:r>
        <w:rPr>
          <w:rStyle w:val="16"/>
          <w:rFonts w:hint="eastAsia" w:ascii="仿宋_GB2312" w:hAnsi="宋体" w:eastAsia="仿宋_GB2312"/>
          <w:b w:val="0"/>
          <w:spacing w:val="-4"/>
          <w:sz w:val="28"/>
          <w:szCs w:val="28"/>
          <w:highlight w:val="none"/>
          <w:lang w:val="en-US" w:eastAsia="zh-CN"/>
        </w:rPr>
        <w:t>4人</w:t>
      </w:r>
      <w:r>
        <w:rPr>
          <w:rStyle w:val="16"/>
          <w:rFonts w:hint="eastAsia" w:ascii="仿宋_GB2312" w:hAnsi="宋体" w:eastAsia="仿宋_GB2312"/>
          <w:b w:val="0"/>
          <w:spacing w:val="-4"/>
          <w:sz w:val="28"/>
          <w:szCs w:val="28"/>
          <w:highlight w:val="none"/>
        </w:rPr>
        <w:t>，指标完成率</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w:t>
      </w:r>
    </w:p>
    <w:p>
      <w:pPr>
        <w:snapToGrid w:val="0"/>
        <w:spacing w:line="360" w:lineRule="auto"/>
        <w:ind w:firstLine="544" w:firstLineChars="200"/>
        <w:rPr>
          <w:rStyle w:val="16"/>
          <w:rFonts w:hint="eastAsia"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rPr>
        <w:t>指标</w:t>
      </w:r>
      <w:r>
        <w:rPr>
          <w:rStyle w:val="16"/>
          <w:rFonts w:ascii="仿宋_GB2312" w:hAnsi="宋体" w:eastAsia="仿宋_GB2312"/>
          <w:b w:val="0"/>
          <w:spacing w:val="-4"/>
          <w:sz w:val="28"/>
          <w:szCs w:val="28"/>
          <w:highlight w:val="none"/>
        </w:rPr>
        <w:t>2</w:t>
      </w:r>
      <w:r>
        <w:rPr>
          <w:rStyle w:val="16"/>
          <w:rFonts w:hint="eastAsia" w:ascii="仿宋_GB2312" w:hAnsi="宋体" w:eastAsia="仿宋_GB2312"/>
          <w:b w:val="0"/>
          <w:spacing w:val="-4"/>
          <w:sz w:val="28"/>
          <w:szCs w:val="28"/>
          <w:highlight w:val="none"/>
        </w:rPr>
        <w:t>：</w:t>
      </w:r>
      <w:r>
        <w:rPr>
          <w:rStyle w:val="16"/>
          <w:rFonts w:hint="eastAsia" w:ascii="仿宋_GB2312" w:hAnsi="宋体" w:eastAsia="仿宋_GB2312"/>
          <w:b w:val="0"/>
          <w:spacing w:val="-4"/>
          <w:sz w:val="28"/>
          <w:szCs w:val="28"/>
          <w:highlight w:val="none"/>
          <w:lang w:val="en-US" w:eastAsia="zh-CN"/>
        </w:rPr>
        <w:t>退休人数</w:t>
      </w:r>
      <w:r>
        <w:rPr>
          <w:rStyle w:val="16"/>
          <w:rFonts w:hint="eastAsia" w:ascii="仿宋_GB2312" w:hAnsi="宋体" w:eastAsia="仿宋_GB2312"/>
          <w:b w:val="0"/>
          <w:spacing w:val="-4"/>
          <w:sz w:val="28"/>
          <w:szCs w:val="28"/>
          <w:highlight w:val="none"/>
        </w:rPr>
        <w:t xml:space="preserve"> ，指标值：</w:t>
      </w:r>
      <w:r>
        <w:rPr>
          <w:rStyle w:val="16"/>
          <w:rFonts w:hint="eastAsia" w:ascii="仿宋_GB2312" w:hAnsi="宋体" w:eastAsia="仿宋_GB2312"/>
          <w:b w:val="0"/>
          <w:spacing w:val="-4"/>
          <w:sz w:val="28"/>
          <w:szCs w:val="28"/>
          <w:highlight w:val="none"/>
          <w:lang w:val="en-US" w:eastAsia="zh-CN"/>
        </w:rPr>
        <w:t>≧14人</w:t>
      </w:r>
      <w:r>
        <w:rPr>
          <w:rStyle w:val="16"/>
          <w:rFonts w:hint="eastAsia" w:ascii="仿宋_GB2312" w:hAnsi="宋体" w:eastAsia="仿宋_GB2312"/>
          <w:b w:val="0"/>
          <w:spacing w:val="-4"/>
          <w:sz w:val="28"/>
          <w:szCs w:val="28"/>
          <w:highlight w:val="none"/>
        </w:rPr>
        <w:t>，实际完成值：</w:t>
      </w:r>
      <w:r>
        <w:rPr>
          <w:rStyle w:val="16"/>
          <w:rFonts w:hint="eastAsia" w:ascii="仿宋_GB2312" w:hAnsi="宋体" w:eastAsia="仿宋_GB2312"/>
          <w:b w:val="0"/>
          <w:spacing w:val="-4"/>
          <w:sz w:val="28"/>
          <w:szCs w:val="28"/>
          <w:highlight w:val="none"/>
          <w:lang w:val="en-US" w:eastAsia="zh-CN"/>
        </w:rPr>
        <w:t>14人</w:t>
      </w:r>
      <w:r>
        <w:rPr>
          <w:rStyle w:val="16"/>
          <w:rFonts w:hint="eastAsia" w:ascii="仿宋_GB2312" w:hAnsi="宋体" w:eastAsia="仿宋_GB2312"/>
          <w:b w:val="0"/>
          <w:spacing w:val="-4"/>
          <w:sz w:val="28"/>
          <w:szCs w:val="28"/>
          <w:highlight w:val="none"/>
        </w:rPr>
        <w:t>，指标完成率</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w:t>
      </w:r>
    </w:p>
    <w:p>
      <w:pPr>
        <w:snapToGrid w:val="0"/>
        <w:spacing w:line="360" w:lineRule="auto"/>
        <w:ind w:firstLine="544" w:firstLineChars="200"/>
        <w:rPr>
          <w:rStyle w:val="16"/>
          <w:rFonts w:hint="eastAsia"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lang w:val="en-US" w:eastAsia="zh-CN"/>
        </w:rPr>
        <w:t>指标3：保障公务用车数量，</w:t>
      </w:r>
      <w:r>
        <w:rPr>
          <w:rStyle w:val="16"/>
          <w:rFonts w:hint="eastAsia" w:ascii="仿宋_GB2312" w:hAnsi="宋体" w:eastAsia="仿宋_GB2312"/>
          <w:b w:val="0"/>
          <w:spacing w:val="-4"/>
          <w:sz w:val="28"/>
          <w:szCs w:val="28"/>
          <w:highlight w:val="none"/>
        </w:rPr>
        <w:t>指标值：</w:t>
      </w:r>
      <w:r>
        <w:rPr>
          <w:rStyle w:val="16"/>
          <w:rFonts w:hint="eastAsia" w:ascii="仿宋_GB2312" w:hAnsi="宋体" w:eastAsia="仿宋_GB2312"/>
          <w:b w:val="0"/>
          <w:spacing w:val="-4"/>
          <w:sz w:val="28"/>
          <w:szCs w:val="28"/>
          <w:highlight w:val="none"/>
          <w:lang w:val="en-US" w:eastAsia="zh-CN"/>
        </w:rPr>
        <w:t>≧1辆</w:t>
      </w:r>
      <w:r>
        <w:rPr>
          <w:rStyle w:val="16"/>
          <w:rFonts w:hint="eastAsia" w:ascii="仿宋_GB2312" w:hAnsi="宋体" w:eastAsia="仿宋_GB2312"/>
          <w:b w:val="0"/>
          <w:spacing w:val="-4"/>
          <w:sz w:val="28"/>
          <w:szCs w:val="28"/>
          <w:highlight w:val="none"/>
        </w:rPr>
        <w:t>，实际完成值：</w:t>
      </w:r>
      <w:r>
        <w:rPr>
          <w:rStyle w:val="16"/>
          <w:rFonts w:hint="eastAsia" w:ascii="仿宋_GB2312" w:hAnsi="宋体" w:eastAsia="仿宋_GB2312"/>
          <w:b w:val="0"/>
          <w:spacing w:val="-4"/>
          <w:sz w:val="28"/>
          <w:szCs w:val="28"/>
          <w:highlight w:val="none"/>
          <w:lang w:val="en-US" w:eastAsia="zh-CN"/>
        </w:rPr>
        <w:t>1辆</w:t>
      </w:r>
      <w:r>
        <w:rPr>
          <w:rStyle w:val="16"/>
          <w:rFonts w:hint="eastAsia" w:ascii="仿宋_GB2312" w:hAnsi="宋体" w:eastAsia="仿宋_GB2312"/>
          <w:b w:val="0"/>
          <w:spacing w:val="-4"/>
          <w:sz w:val="28"/>
          <w:szCs w:val="28"/>
          <w:highlight w:val="none"/>
        </w:rPr>
        <w:t>，指标完成率</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ascii="仿宋_GB2312" w:hAnsi="宋体" w:eastAsia="仿宋_GB2312"/>
          <w:b w:val="0"/>
          <w:spacing w:val="-4"/>
          <w:sz w:val="28"/>
          <w:szCs w:val="28"/>
          <w:highlight w:val="none"/>
        </w:rPr>
        <w:t>2</w:t>
      </w:r>
      <w:r>
        <w:rPr>
          <w:rStyle w:val="16"/>
          <w:rFonts w:hint="eastAsia" w:ascii="仿宋_GB2312" w:hAnsi="宋体" w:eastAsia="仿宋_GB2312"/>
          <w:b w:val="0"/>
          <w:spacing w:val="-4"/>
          <w:sz w:val="28"/>
          <w:szCs w:val="28"/>
          <w:highlight w:val="none"/>
        </w:rPr>
        <w:t>、质量指标：</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rPr>
        <w:t>指标1：</w:t>
      </w:r>
      <w:r>
        <w:rPr>
          <w:rStyle w:val="16"/>
          <w:rFonts w:hint="eastAsia" w:ascii="仿宋_GB2312" w:hAnsi="宋体" w:eastAsia="仿宋_GB2312"/>
          <w:b w:val="0"/>
          <w:spacing w:val="-4"/>
          <w:sz w:val="28"/>
          <w:szCs w:val="28"/>
          <w:highlight w:val="none"/>
          <w:lang w:val="en-US" w:eastAsia="zh-CN"/>
        </w:rPr>
        <w:t>工资及公用经费保障率</w:t>
      </w:r>
      <w:r>
        <w:rPr>
          <w:rStyle w:val="16"/>
          <w:rFonts w:hint="eastAsia" w:ascii="仿宋_GB2312" w:hAnsi="宋体" w:eastAsia="仿宋_GB2312"/>
          <w:b w:val="0"/>
          <w:spacing w:val="-4"/>
          <w:sz w:val="28"/>
          <w:szCs w:val="28"/>
          <w:highlight w:val="none"/>
        </w:rPr>
        <w:t xml:space="preserve"> ，指标值：</w:t>
      </w:r>
      <w:r>
        <w:rPr>
          <w:rStyle w:val="16"/>
          <w:rFonts w:hint="eastAsia" w:ascii="仿宋_GB2312" w:hAnsi="宋体" w:eastAsia="仿宋_GB2312"/>
          <w:b w:val="0"/>
          <w:spacing w:val="-4"/>
          <w:sz w:val="28"/>
          <w:szCs w:val="28"/>
          <w:highlight w:val="none"/>
          <w:lang w:val="en-US" w:eastAsia="zh-CN"/>
        </w:rPr>
        <w:t>≧94%</w:t>
      </w:r>
      <w:r>
        <w:rPr>
          <w:rStyle w:val="16"/>
          <w:rFonts w:hint="eastAsia" w:ascii="仿宋_GB2312" w:hAnsi="宋体" w:eastAsia="仿宋_GB2312"/>
          <w:b w:val="0"/>
          <w:spacing w:val="-4"/>
          <w:sz w:val="28"/>
          <w:szCs w:val="28"/>
          <w:highlight w:val="none"/>
        </w:rPr>
        <w:t>，实际完成值：</w:t>
      </w:r>
      <w:r>
        <w:rPr>
          <w:rStyle w:val="16"/>
          <w:rFonts w:hint="eastAsia" w:ascii="仿宋_GB2312" w:hAnsi="宋体" w:eastAsia="仿宋_GB2312"/>
          <w:b w:val="0"/>
          <w:spacing w:val="-4"/>
          <w:sz w:val="28"/>
          <w:szCs w:val="28"/>
          <w:highlight w:val="none"/>
          <w:lang w:val="en-US" w:eastAsia="zh-CN"/>
        </w:rPr>
        <w:t>94%</w:t>
      </w:r>
      <w:r>
        <w:rPr>
          <w:rStyle w:val="16"/>
          <w:rFonts w:hint="eastAsia" w:ascii="仿宋_GB2312" w:hAnsi="宋体" w:eastAsia="仿宋_GB2312"/>
          <w:b w:val="0"/>
          <w:spacing w:val="-4"/>
          <w:sz w:val="28"/>
          <w:szCs w:val="28"/>
          <w:highlight w:val="none"/>
        </w:rPr>
        <w:t>，指标完成率</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ascii="仿宋_GB2312" w:hAnsi="宋体" w:eastAsia="仿宋_GB2312"/>
          <w:b w:val="0"/>
          <w:spacing w:val="-4"/>
          <w:sz w:val="28"/>
          <w:szCs w:val="28"/>
          <w:highlight w:val="none"/>
        </w:rPr>
        <w:t>3</w:t>
      </w:r>
      <w:r>
        <w:rPr>
          <w:rStyle w:val="16"/>
          <w:rFonts w:hint="eastAsia" w:ascii="仿宋_GB2312" w:hAnsi="宋体" w:eastAsia="仿宋_GB2312"/>
          <w:b w:val="0"/>
          <w:spacing w:val="-4"/>
          <w:sz w:val="28"/>
          <w:szCs w:val="28"/>
          <w:highlight w:val="none"/>
        </w:rPr>
        <w:t>、时效指标：</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rPr>
        <w:t>指标1：资金发放及时率，指标值：≥</w:t>
      </w:r>
      <w:r>
        <w:rPr>
          <w:rStyle w:val="16"/>
          <w:rFonts w:hint="eastAsia" w:ascii="仿宋_GB2312" w:hAnsi="宋体" w:eastAsia="仿宋_GB2312"/>
          <w:b w:val="0"/>
          <w:spacing w:val="-4"/>
          <w:sz w:val="28"/>
          <w:szCs w:val="28"/>
          <w:highlight w:val="none"/>
          <w:lang w:val="en-US" w:eastAsia="zh-CN"/>
        </w:rPr>
        <w:t>98</w:t>
      </w:r>
      <w:r>
        <w:rPr>
          <w:rStyle w:val="16"/>
          <w:rFonts w:hint="eastAsia" w:ascii="仿宋_GB2312" w:hAnsi="宋体" w:eastAsia="仿宋_GB2312"/>
          <w:b w:val="0"/>
          <w:spacing w:val="-4"/>
          <w:sz w:val="28"/>
          <w:szCs w:val="28"/>
          <w:highlight w:val="none"/>
        </w:rPr>
        <w:t>%，实际完成值：</w:t>
      </w:r>
      <w:r>
        <w:rPr>
          <w:rStyle w:val="16"/>
          <w:rFonts w:hint="eastAsia" w:ascii="仿宋_GB2312" w:hAnsi="宋体" w:eastAsia="仿宋_GB2312"/>
          <w:b w:val="0"/>
          <w:spacing w:val="-4"/>
          <w:sz w:val="28"/>
          <w:szCs w:val="28"/>
          <w:highlight w:val="none"/>
          <w:lang w:val="en-US" w:eastAsia="zh-CN"/>
        </w:rPr>
        <w:t>98</w:t>
      </w:r>
      <w:r>
        <w:rPr>
          <w:rStyle w:val="16"/>
          <w:rFonts w:hint="eastAsia" w:ascii="仿宋_GB2312" w:hAnsi="宋体" w:eastAsia="仿宋_GB2312"/>
          <w:b w:val="0"/>
          <w:spacing w:val="-4"/>
          <w:sz w:val="28"/>
          <w:szCs w:val="28"/>
          <w:highlight w:val="none"/>
        </w:rPr>
        <w:t>% ，指标完成率</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rPr>
        <w:t>指标</w:t>
      </w:r>
      <w:r>
        <w:rPr>
          <w:rStyle w:val="16"/>
          <w:rFonts w:ascii="仿宋_GB2312" w:hAnsi="宋体" w:eastAsia="仿宋_GB2312"/>
          <w:b w:val="0"/>
          <w:spacing w:val="-4"/>
          <w:sz w:val="28"/>
          <w:szCs w:val="28"/>
          <w:highlight w:val="none"/>
        </w:rPr>
        <w:t>2</w:t>
      </w:r>
      <w:r>
        <w:rPr>
          <w:rStyle w:val="16"/>
          <w:rFonts w:hint="eastAsia" w:ascii="仿宋_GB2312" w:hAnsi="宋体" w:eastAsia="仿宋_GB2312"/>
          <w:b w:val="0"/>
          <w:spacing w:val="-4"/>
          <w:sz w:val="28"/>
          <w:szCs w:val="28"/>
          <w:highlight w:val="none"/>
        </w:rPr>
        <w:t>：工资及各项社保发放及时率，指标值：</w:t>
      </w:r>
      <w:r>
        <w:rPr>
          <w:rStyle w:val="16"/>
          <w:rFonts w:hint="eastAsia" w:ascii="仿宋_GB2312" w:hAnsi="宋体" w:eastAsia="仿宋_GB2312"/>
          <w:b w:val="0"/>
          <w:spacing w:val="-4"/>
          <w:sz w:val="28"/>
          <w:szCs w:val="28"/>
          <w:highlight w:val="none"/>
          <w:lang w:val="en-US" w:eastAsia="zh-CN"/>
        </w:rPr>
        <w:t>≥</w:t>
      </w:r>
      <w:r>
        <w:rPr>
          <w:rStyle w:val="16"/>
          <w:rFonts w:hint="eastAsia" w:ascii="仿宋_GB2312" w:hAnsi="宋体" w:eastAsia="仿宋_GB2312"/>
          <w:b w:val="0"/>
          <w:spacing w:val="-4"/>
          <w:sz w:val="28"/>
          <w:szCs w:val="28"/>
          <w:highlight w:val="none"/>
        </w:rPr>
        <w:t>100% ，实际完成值：100% ，指标完成率</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ascii="仿宋_GB2312" w:hAnsi="宋体" w:eastAsia="仿宋_GB2312"/>
          <w:b w:val="0"/>
          <w:spacing w:val="-4"/>
          <w:sz w:val="28"/>
          <w:szCs w:val="28"/>
          <w:highlight w:val="none"/>
        </w:rPr>
        <w:t>4</w:t>
      </w:r>
      <w:r>
        <w:rPr>
          <w:rStyle w:val="16"/>
          <w:rFonts w:hint="eastAsia" w:ascii="仿宋_GB2312" w:hAnsi="宋体" w:eastAsia="仿宋_GB2312"/>
          <w:b w:val="0"/>
          <w:spacing w:val="-4"/>
          <w:sz w:val="28"/>
          <w:szCs w:val="28"/>
          <w:highlight w:val="none"/>
        </w:rPr>
        <w:t>、成本指标：</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rPr>
        <w:t>指标1：</w:t>
      </w:r>
      <w:r>
        <w:rPr>
          <w:rStyle w:val="16"/>
          <w:rFonts w:hint="eastAsia" w:ascii="仿宋_GB2312" w:hAnsi="宋体" w:eastAsia="仿宋_GB2312"/>
          <w:b w:val="0"/>
          <w:spacing w:val="-4"/>
          <w:sz w:val="28"/>
          <w:szCs w:val="28"/>
          <w:highlight w:val="none"/>
          <w:lang w:val="en-US" w:eastAsia="zh-CN"/>
        </w:rPr>
        <w:t>保障人员人均支出标准</w:t>
      </w:r>
      <w:r>
        <w:rPr>
          <w:rStyle w:val="16"/>
          <w:rFonts w:hint="eastAsia" w:ascii="仿宋_GB2312" w:hAnsi="宋体" w:eastAsia="仿宋_GB2312"/>
          <w:b w:val="0"/>
          <w:spacing w:val="-4"/>
          <w:sz w:val="28"/>
          <w:szCs w:val="28"/>
          <w:highlight w:val="none"/>
        </w:rPr>
        <w:t xml:space="preserve"> ，指标值：≦2.81万元，实际完成值：</w:t>
      </w:r>
      <w:r>
        <w:rPr>
          <w:rStyle w:val="16"/>
          <w:rFonts w:hint="eastAsia" w:ascii="仿宋_GB2312" w:hAnsi="宋体" w:eastAsia="仿宋_GB2312"/>
          <w:b w:val="0"/>
          <w:spacing w:val="-4"/>
          <w:sz w:val="28"/>
          <w:szCs w:val="28"/>
          <w:highlight w:val="none"/>
          <w:lang w:val="en-US" w:eastAsia="zh-CN"/>
        </w:rPr>
        <w:t>2.81</w:t>
      </w:r>
      <w:r>
        <w:rPr>
          <w:rStyle w:val="16"/>
          <w:rFonts w:hint="eastAsia" w:ascii="仿宋_GB2312" w:hAnsi="宋体" w:eastAsia="仿宋_GB2312"/>
          <w:b w:val="0"/>
          <w:spacing w:val="-4"/>
          <w:sz w:val="28"/>
          <w:szCs w:val="28"/>
          <w:highlight w:val="none"/>
        </w:rPr>
        <w:t>万元 ，指标完成率</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w:t>
      </w:r>
    </w:p>
    <w:p>
      <w:pPr>
        <w:snapToGrid w:val="0"/>
        <w:spacing w:line="360" w:lineRule="auto"/>
        <w:ind w:firstLine="544" w:firstLineChars="200"/>
        <w:rPr>
          <w:rStyle w:val="16"/>
          <w:rFonts w:hint="eastAsia"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rPr>
        <w:t>指标</w:t>
      </w:r>
      <w:r>
        <w:rPr>
          <w:rStyle w:val="16"/>
          <w:rFonts w:ascii="仿宋_GB2312" w:hAnsi="宋体" w:eastAsia="仿宋_GB2312"/>
          <w:b w:val="0"/>
          <w:spacing w:val="-4"/>
          <w:sz w:val="28"/>
          <w:szCs w:val="28"/>
          <w:highlight w:val="none"/>
        </w:rPr>
        <w:t>2</w:t>
      </w:r>
      <w:r>
        <w:rPr>
          <w:rStyle w:val="16"/>
          <w:rFonts w:hint="eastAsia" w:ascii="仿宋_GB2312" w:hAnsi="宋体" w:eastAsia="仿宋_GB2312"/>
          <w:b w:val="0"/>
          <w:spacing w:val="-4"/>
          <w:sz w:val="28"/>
          <w:szCs w:val="28"/>
          <w:highlight w:val="none"/>
        </w:rPr>
        <w:t>：公用车经费，指标值：≦0.8万元，实际完成值：</w:t>
      </w:r>
      <w:r>
        <w:rPr>
          <w:rStyle w:val="16"/>
          <w:rFonts w:hint="eastAsia" w:ascii="仿宋_GB2312" w:hAnsi="宋体" w:eastAsia="仿宋_GB2312"/>
          <w:b w:val="0"/>
          <w:spacing w:val="-4"/>
          <w:sz w:val="28"/>
          <w:szCs w:val="28"/>
          <w:highlight w:val="none"/>
          <w:lang w:val="en-US" w:eastAsia="zh-CN"/>
        </w:rPr>
        <w:t>0.8万元</w:t>
      </w:r>
      <w:r>
        <w:rPr>
          <w:rStyle w:val="16"/>
          <w:rFonts w:hint="eastAsia" w:ascii="仿宋_GB2312" w:hAnsi="宋体" w:eastAsia="仿宋_GB2312"/>
          <w:b w:val="0"/>
          <w:spacing w:val="-4"/>
          <w:sz w:val="28"/>
          <w:szCs w:val="28"/>
          <w:highlight w:val="none"/>
        </w:rPr>
        <w:t xml:space="preserve"> ，指标完成率</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w:t>
      </w:r>
    </w:p>
    <w:p>
      <w:pPr>
        <w:snapToGrid w:val="0"/>
        <w:spacing w:line="360" w:lineRule="auto"/>
        <w:ind w:firstLine="544" w:firstLineChars="200"/>
        <w:rPr>
          <w:rStyle w:val="16"/>
          <w:rFonts w:hint="eastAsia"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lang w:val="en-US" w:eastAsia="zh-CN"/>
        </w:rPr>
        <w:t>指标3：人均运转经费</w:t>
      </w:r>
      <w:r>
        <w:rPr>
          <w:rStyle w:val="16"/>
          <w:rFonts w:hint="eastAsia" w:ascii="仿宋_GB2312" w:hAnsi="宋体" w:eastAsia="仿宋_GB2312"/>
          <w:b w:val="0"/>
          <w:spacing w:val="-4"/>
          <w:sz w:val="28"/>
          <w:szCs w:val="28"/>
          <w:highlight w:val="none"/>
        </w:rPr>
        <w:t>指标值：≦0.</w:t>
      </w:r>
      <w:r>
        <w:rPr>
          <w:rStyle w:val="16"/>
          <w:rFonts w:hint="eastAsia" w:ascii="仿宋_GB2312" w:hAnsi="宋体" w:eastAsia="仿宋_GB2312"/>
          <w:b w:val="0"/>
          <w:spacing w:val="-4"/>
          <w:sz w:val="28"/>
          <w:szCs w:val="28"/>
          <w:highlight w:val="none"/>
          <w:lang w:val="en-US" w:eastAsia="zh-CN"/>
        </w:rPr>
        <w:t>07</w:t>
      </w:r>
      <w:r>
        <w:rPr>
          <w:rStyle w:val="16"/>
          <w:rFonts w:hint="eastAsia" w:ascii="仿宋_GB2312" w:hAnsi="宋体" w:eastAsia="仿宋_GB2312"/>
          <w:b w:val="0"/>
          <w:spacing w:val="-4"/>
          <w:sz w:val="28"/>
          <w:szCs w:val="28"/>
          <w:highlight w:val="none"/>
        </w:rPr>
        <w:t>万元</w:t>
      </w:r>
      <w:r>
        <w:rPr>
          <w:rStyle w:val="16"/>
          <w:rFonts w:hint="eastAsia" w:ascii="仿宋_GB2312" w:hAnsi="宋体" w:eastAsia="仿宋_GB2312"/>
          <w:b w:val="0"/>
          <w:spacing w:val="-4"/>
          <w:sz w:val="28"/>
          <w:szCs w:val="28"/>
          <w:highlight w:val="none"/>
          <w:lang w:eastAsia="zh-CN"/>
        </w:rPr>
        <w:t>，</w:t>
      </w:r>
      <w:r>
        <w:rPr>
          <w:rStyle w:val="16"/>
          <w:rFonts w:hint="eastAsia" w:ascii="仿宋_GB2312" w:hAnsi="宋体" w:eastAsia="仿宋_GB2312"/>
          <w:b w:val="0"/>
          <w:spacing w:val="-4"/>
          <w:sz w:val="28"/>
          <w:szCs w:val="28"/>
          <w:highlight w:val="none"/>
        </w:rPr>
        <w:t>实际完成值：</w:t>
      </w:r>
      <w:r>
        <w:rPr>
          <w:rStyle w:val="16"/>
          <w:rFonts w:hint="eastAsia" w:ascii="仿宋_GB2312" w:hAnsi="宋体" w:eastAsia="仿宋_GB2312"/>
          <w:b w:val="0"/>
          <w:spacing w:val="-4"/>
          <w:sz w:val="28"/>
          <w:szCs w:val="28"/>
          <w:highlight w:val="none"/>
          <w:lang w:val="en-US" w:eastAsia="zh-CN"/>
        </w:rPr>
        <w:t>0.07万元</w:t>
      </w:r>
      <w:r>
        <w:rPr>
          <w:rStyle w:val="16"/>
          <w:rFonts w:hint="eastAsia" w:ascii="仿宋_GB2312" w:hAnsi="宋体" w:eastAsia="仿宋_GB2312"/>
          <w:b w:val="0"/>
          <w:spacing w:val="-4"/>
          <w:sz w:val="28"/>
          <w:szCs w:val="28"/>
          <w:highlight w:val="none"/>
        </w:rPr>
        <w:t xml:space="preserve"> ，指标完成率</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lang w:val="en-US" w:eastAsia="zh-CN"/>
        </w:rPr>
        <w:t>5</w:t>
      </w:r>
      <w:r>
        <w:rPr>
          <w:rStyle w:val="16"/>
          <w:rFonts w:hint="eastAsia" w:ascii="仿宋_GB2312" w:hAnsi="宋体" w:eastAsia="仿宋_GB2312"/>
          <w:b w:val="0"/>
          <w:spacing w:val="-4"/>
          <w:sz w:val="28"/>
          <w:szCs w:val="28"/>
          <w:highlight w:val="none"/>
        </w:rPr>
        <w:t>、社会效益指标：</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rPr>
        <w:t>指标1： 推动接待各项工作有序、顺利进行 ，指标值：有效推动，实际完成值：有效推动，指标完成率</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rPr>
        <w:t>指标</w:t>
      </w:r>
      <w:r>
        <w:rPr>
          <w:rStyle w:val="16"/>
          <w:rFonts w:ascii="仿宋_GB2312" w:hAnsi="宋体" w:eastAsia="仿宋_GB2312"/>
          <w:b w:val="0"/>
          <w:spacing w:val="-4"/>
          <w:sz w:val="28"/>
          <w:szCs w:val="28"/>
          <w:highlight w:val="none"/>
        </w:rPr>
        <w:t>2</w:t>
      </w:r>
      <w:r>
        <w:rPr>
          <w:rStyle w:val="16"/>
          <w:rFonts w:hint="eastAsia" w:ascii="仿宋_GB2312" w:hAnsi="宋体" w:eastAsia="仿宋_GB2312"/>
          <w:b w:val="0"/>
          <w:spacing w:val="-4"/>
          <w:sz w:val="28"/>
          <w:szCs w:val="28"/>
          <w:highlight w:val="none"/>
        </w:rPr>
        <w:t>：促进相关政策落地落实，指标值：有效促进，实际完成值：有效促进，指标完成率</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lang w:val="en-US" w:eastAsia="zh-CN"/>
        </w:rPr>
        <w:t>6</w:t>
      </w:r>
      <w:r>
        <w:rPr>
          <w:rStyle w:val="16"/>
          <w:rFonts w:hint="eastAsia" w:ascii="仿宋_GB2312" w:hAnsi="宋体" w:eastAsia="仿宋_GB2312"/>
          <w:b w:val="0"/>
          <w:spacing w:val="-4"/>
          <w:sz w:val="28"/>
          <w:szCs w:val="28"/>
          <w:highlight w:val="none"/>
        </w:rPr>
        <w:t>、满意度指标：</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rPr>
        <w:t>指标1：职工满意度，指标值：≥95%，实际完成值：95%，指标完成率</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w:t>
      </w:r>
    </w:p>
    <w:p>
      <w:pPr>
        <w:snapToGrid w:val="0"/>
        <w:spacing w:line="360" w:lineRule="auto"/>
        <w:ind w:firstLine="544" w:firstLineChars="200"/>
        <w:rPr>
          <w:rStyle w:val="16"/>
          <w:rFonts w:hint="eastAsia" w:ascii="仿宋_GB2312" w:hAnsi="宋体" w:eastAsia="仿宋_GB2312"/>
          <w:b w:val="0"/>
          <w:bCs w:val="0"/>
          <w:color w:val="FF0000"/>
          <w:spacing w:val="-4"/>
          <w:sz w:val="28"/>
          <w:szCs w:val="28"/>
          <w:highlight w:val="none"/>
          <w:lang w:eastAsia="zh-CN"/>
        </w:rPr>
      </w:pPr>
      <w:r>
        <w:rPr>
          <w:rStyle w:val="16"/>
          <w:rFonts w:hint="eastAsia" w:ascii="仿宋_GB2312" w:hAnsi="宋体" w:eastAsia="仿宋_GB2312"/>
          <w:b w:val="0"/>
          <w:spacing w:val="-4"/>
          <w:sz w:val="28"/>
          <w:szCs w:val="28"/>
          <w:highlight w:val="none"/>
        </w:rPr>
        <w:t>指标</w:t>
      </w:r>
      <w:r>
        <w:rPr>
          <w:rStyle w:val="16"/>
          <w:rFonts w:ascii="仿宋_GB2312" w:hAnsi="宋体" w:eastAsia="仿宋_GB2312"/>
          <w:b w:val="0"/>
          <w:spacing w:val="-4"/>
          <w:sz w:val="28"/>
          <w:szCs w:val="28"/>
          <w:highlight w:val="none"/>
        </w:rPr>
        <w:t>2</w:t>
      </w:r>
      <w:r>
        <w:rPr>
          <w:rStyle w:val="16"/>
          <w:rFonts w:hint="eastAsia" w:ascii="仿宋_GB2312" w:hAnsi="宋体" w:eastAsia="仿宋_GB2312"/>
          <w:b w:val="0"/>
          <w:spacing w:val="-4"/>
          <w:sz w:val="28"/>
          <w:szCs w:val="28"/>
          <w:highlight w:val="none"/>
        </w:rPr>
        <w:t>：相关单位满意度，指标值：≥95%，实际完成值：95% ，指标完成率</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w:t>
      </w:r>
      <w:r>
        <w:rPr>
          <w:rStyle w:val="16"/>
          <w:rFonts w:hint="eastAsia" w:ascii="仿宋_GB2312" w:hAnsi="宋体" w:eastAsia="仿宋_GB2312"/>
          <w:b w:val="0"/>
          <w:spacing w:val="-4"/>
          <w:sz w:val="28"/>
          <w:szCs w:val="28"/>
          <w:highlight w:val="none"/>
          <w:lang w:eastAsia="zh-CN"/>
        </w:rPr>
        <w:t>。</w:t>
      </w:r>
    </w:p>
    <w:p>
      <w:pPr>
        <w:pStyle w:val="3"/>
        <w:numPr>
          <w:ilvl w:val="0"/>
          <w:numId w:val="3"/>
        </w:numPr>
        <w:spacing w:line="360" w:lineRule="auto"/>
        <w:rPr>
          <w:rFonts w:hint="eastAsia" w:ascii="仿宋" w:hAnsi="仿宋" w:eastAsia="仿宋"/>
          <w:sz w:val="36"/>
          <w:szCs w:val="36"/>
          <w:lang w:bidi="ar"/>
        </w:rPr>
      </w:pPr>
      <w:bookmarkStart w:id="26" w:name="_Toc70450317"/>
      <w:r>
        <w:rPr>
          <w:rFonts w:hint="eastAsia" w:ascii="仿宋" w:hAnsi="仿宋" w:eastAsia="仿宋"/>
          <w:sz w:val="36"/>
          <w:szCs w:val="36"/>
          <w:lang w:bidi="ar"/>
        </w:rPr>
        <w:t>存在的主要问题</w:t>
      </w:r>
      <w:bookmarkEnd w:id="26"/>
    </w:p>
    <w:p>
      <w:pPr>
        <w:pStyle w:val="12"/>
        <w:widowControl/>
        <w:spacing w:before="40" w:beforeAutospacing="0" w:after="0" w:afterAutospacing="0" w:line="520" w:lineRule="atLeast"/>
        <w:ind w:firstLine="544" w:firstLineChars="200"/>
        <w:jc w:val="both"/>
        <w:rPr>
          <w:rStyle w:val="16"/>
          <w:rFonts w:hint="eastAsia" w:ascii="仿宋_GB2312" w:hAnsi="宋体" w:eastAsia="仿宋_GB2312" w:cs="Times New Roman"/>
          <w:b w:val="0"/>
          <w:bCs w:val="0"/>
          <w:color w:val="000000" w:themeColor="text1"/>
          <w:spacing w:val="-4"/>
          <w:kern w:val="2"/>
          <w:sz w:val="28"/>
          <w:szCs w:val="28"/>
          <w:lang w:val="en-US" w:eastAsia="zh-CN" w:bidi="ar-SA"/>
          <w14:textFill>
            <w14:solidFill>
              <w14:schemeClr w14:val="tx1"/>
            </w14:solidFill>
          </w14:textFill>
        </w:rPr>
      </w:pPr>
      <w:r>
        <w:rPr>
          <w:rStyle w:val="16"/>
          <w:rFonts w:hint="eastAsia" w:ascii="仿宋_GB2312" w:hAnsi="宋体" w:eastAsia="仿宋_GB2312" w:cs="Times New Roman"/>
          <w:b w:val="0"/>
          <w:bCs w:val="0"/>
          <w:color w:val="000000" w:themeColor="text1"/>
          <w:spacing w:val="-4"/>
          <w:kern w:val="2"/>
          <w:sz w:val="28"/>
          <w:szCs w:val="28"/>
          <w:lang w:val="en-US" w:eastAsia="zh-CN" w:bidi="ar-SA"/>
          <w14:textFill>
            <w14:solidFill>
              <w14:schemeClr w14:val="tx1"/>
            </w14:solidFill>
          </w14:textFill>
        </w:rPr>
        <w:t>(一)预算执行存在偏差，由于单位人员调整，预算执行也随之调整，接待费预算预留财政，年中进行追加，缺乏预算编制的科学性。</w:t>
      </w:r>
    </w:p>
    <w:p>
      <w:pPr>
        <w:pStyle w:val="29"/>
        <w:spacing w:line="560" w:lineRule="exact"/>
        <w:ind w:firstLine="544" w:firstLineChars="200"/>
        <w:rPr>
          <w:rStyle w:val="16"/>
          <w:rFonts w:hint="eastAsia" w:ascii="仿宋_GB2312" w:hAnsi="宋体" w:eastAsia="仿宋_GB2312" w:cs="Times New Roman"/>
          <w:b w:val="0"/>
          <w:bCs w:val="0"/>
          <w:color w:val="000000" w:themeColor="text1"/>
          <w:spacing w:val="-4"/>
          <w:kern w:val="2"/>
          <w:sz w:val="28"/>
          <w:szCs w:val="28"/>
          <w:lang w:val="en-US" w:eastAsia="zh-CN" w:bidi="ar-SA"/>
          <w14:textFill>
            <w14:solidFill>
              <w14:schemeClr w14:val="tx1"/>
            </w14:solidFill>
          </w14:textFill>
        </w:rPr>
      </w:pPr>
      <w:r>
        <w:rPr>
          <w:rStyle w:val="16"/>
          <w:rFonts w:hint="eastAsia" w:ascii="仿宋_GB2312" w:hAnsi="宋体" w:eastAsia="仿宋_GB2312" w:cs="Times New Roman"/>
          <w:b w:val="0"/>
          <w:bCs w:val="0"/>
          <w:color w:val="000000" w:themeColor="text1"/>
          <w:spacing w:val="-4"/>
          <w:kern w:val="2"/>
          <w:sz w:val="28"/>
          <w:szCs w:val="28"/>
          <w:lang w:val="en-US" w:eastAsia="zh-CN" w:bidi="ar-SA"/>
          <w14:textFill>
            <w14:solidFill>
              <w14:schemeClr w14:val="tx1"/>
            </w14:solidFill>
          </w14:textFill>
        </w:rPr>
        <w:t>（二）预算绩效管理水平仍有欠缺。在2021年预算绩效管理工作中，存在“重投入轻管理、重支出轻绩效”的情况，对全面实施预算绩效管理的要求认识还不到位；同时预算绩效管理也是一项新工作，面对专业人手不足、绩效管理水平欠缺的情况下，坚持“滚石上山”，提升的空间还是很大。</w:t>
      </w:r>
    </w:p>
    <w:p>
      <w:pPr>
        <w:pStyle w:val="12"/>
        <w:widowControl/>
        <w:spacing w:before="40" w:beforeAutospacing="0" w:after="0" w:afterAutospacing="0" w:line="520" w:lineRule="atLeast"/>
        <w:ind w:firstLine="272" w:firstLineChars="100"/>
        <w:jc w:val="both"/>
        <w:rPr>
          <w:rStyle w:val="16"/>
          <w:rFonts w:hint="eastAsia" w:ascii="仿宋_GB2312" w:hAnsi="宋体" w:eastAsia="仿宋_GB2312" w:cs="Times New Roman"/>
          <w:b w:val="0"/>
          <w:bCs w:val="0"/>
          <w:color w:val="000000" w:themeColor="text1"/>
          <w:spacing w:val="-4"/>
          <w:kern w:val="2"/>
          <w:sz w:val="28"/>
          <w:szCs w:val="28"/>
          <w:lang w:val="en-US" w:eastAsia="zh-CN" w:bidi="ar-SA"/>
          <w14:textFill>
            <w14:solidFill>
              <w14:schemeClr w14:val="tx1"/>
            </w14:solidFill>
          </w14:textFill>
        </w:rPr>
      </w:pPr>
      <w:r>
        <w:rPr>
          <w:rStyle w:val="16"/>
          <w:rFonts w:hint="eastAsia" w:ascii="仿宋_GB2312" w:hAnsi="宋体" w:eastAsia="仿宋_GB2312" w:cs="Times New Roman"/>
          <w:b w:val="0"/>
          <w:bCs w:val="0"/>
          <w:color w:val="000000" w:themeColor="text1"/>
          <w:spacing w:val="-4"/>
          <w:kern w:val="2"/>
          <w:sz w:val="28"/>
          <w:szCs w:val="28"/>
          <w:lang w:val="en-US" w:eastAsia="zh-CN" w:bidi="ar-SA"/>
          <w14:textFill>
            <w14:solidFill>
              <w14:schemeClr w14:val="tx1"/>
            </w14:solidFill>
          </w14:textFill>
        </w:rPr>
        <w:t>（三）固定资产管理水平有待提高。固定资产应及时清理处置报废资产,固定资产管理继续加强中。</w:t>
      </w:r>
    </w:p>
    <w:p>
      <w:pPr>
        <w:numPr>
          <w:ilvl w:val="0"/>
          <w:numId w:val="0"/>
        </w:numPr>
      </w:pPr>
    </w:p>
    <w:p>
      <w:pPr>
        <w:spacing w:line="360" w:lineRule="auto"/>
        <w:rPr>
          <w:lang w:bidi="ar"/>
        </w:rPr>
      </w:pPr>
    </w:p>
    <w:p>
      <w:pPr>
        <w:pStyle w:val="3"/>
        <w:spacing w:line="360" w:lineRule="auto"/>
        <w:rPr>
          <w:rFonts w:ascii="仿宋" w:hAnsi="仿宋" w:eastAsia="仿宋"/>
          <w:sz w:val="36"/>
          <w:szCs w:val="36"/>
          <w:lang w:bidi="ar"/>
        </w:rPr>
      </w:pPr>
      <w:bookmarkStart w:id="27" w:name="_Toc70450318"/>
      <w:r>
        <w:rPr>
          <w:rFonts w:hint="eastAsia" w:ascii="仿宋" w:hAnsi="仿宋" w:eastAsia="仿宋"/>
          <w:sz w:val="36"/>
          <w:szCs w:val="36"/>
          <w:lang w:bidi="ar"/>
        </w:rPr>
        <w:t>七、改进措施和建议</w:t>
      </w:r>
      <w:bookmarkEnd w:id="27"/>
    </w:p>
    <w:p>
      <w:pPr>
        <w:spacing w:line="360" w:lineRule="auto"/>
        <w:rPr>
          <w:lang w:bidi="ar"/>
        </w:rPr>
      </w:pPr>
    </w:p>
    <w:p>
      <w:pPr>
        <w:pStyle w:val="4"/>
        <w:numPr>
          <w:ilvl w:val="0"/>
          <w:numId w:val="4"/>
        </w:numPr>
        <w:spacing w:line="360" w:lineRule="auto"/>
        <w:rPr>
          <w:rStyle w:val="16"/>
          <w:rFonts w:hint="eastAsia" w:ascii="仿宋" w:hAnsi="仿宋" w:eastAsia="仿宋"/>
          <w:b/>
          <w:bCs/>
        </w:rPr>
      </w:pPr>
      <w:bookmarkStart w:id="28" w:name="_Toc70450319"/>
      <w:r>
        <w:rPr>
          <w:rStyle w:val="16"/>
          <w:rFonts w:hint="eastAsia" w:ascii="仿宋" w:hAnsi="仿宋" w:eastAsia="仿宋"/>
          <w:b/>
          <w:bCs/>
        </w:rPr>
        <w:t>改进措施</w:t>
      </w:r>
      <w:bookmarkEnd w:id="28"/>
    </w:p>
    <w:p>
      <w:pPr>
        <w:pStyle w:val="12"/>
        <w:widowControl/>
        <w:spacing w:before="40" w:beforeAutospacing="0" w:after="0" w:afterAutospacing="0" w:line="520" w:lineRule="atLeast"/>
        <w:ind w:firstLine="272" w:firstLineChars="100"/>
        <w:jc w:val="both"/>
        <w:rPr>
          <w:rStyle w:val="16"/>
          <w:rFonts w:hint="eastAsia" w:ascii="仿宋_GB2312" w:hAnsi="宋体" w:eastAsia="仿宋_GB2312" w:cs="Times New Roman"/>
          <w:b w:val="0"/>
          <w:bCs w:val="0"/>
          <w:color w:val="000000" w:themeColor="text1"/>
          <w:spacing w:val="-4"/>
          <w:kern w:val="2"/>
          <w:sz w:val="28"/>
          <w:szCs w:val="28"/>
          <w:lang w:val="en-US" w:eastAsia="zh-CN" w:bidi="ar-SA"/>
          <w14:textFill>
            <w14:solidFill>
              <w14:schemeClr w14:val="tx1"/>
            </w14:solidFill>
          </w14:textFill>
        </w:rPr>
      </w:pPr>
      <w:r>
        <w:rPr>
          <w:rStyle w:val="16"/>
          <w:rFonts w:hint="eastAsia" w:ascii="仿宋_GB2312" w:hAnsi="宋体" w:eastAsia="仿宋_GB2312" w:cs="Times New Roman"/>
          <w:b w:val="0"/>
          <w:bCs w:val="0"/>
          <w:color w:val="000000" w:themeColor="text1"/>
          <w:spacing w:val="-4"/>
          <w:kern w:val="2"/>
          <w:sz w:val="28"/>
          <w:szCs w:val="28"/>
          <w:lang w:val="en-US" w:eastAsia="zh-CN" w:bidi="ar-SA"/>
          <w14:textFill>
            <w14:solidFill>
              <w14:schemeClr w14:val="tx1"/>
            </w14:solidFill>
          </w14:textFill>
        </w:rPr>
        <w:t>(一)完善管理制度,进-步加强资产管理。严格按照《固定资产管理办法》的规定，加强固定资产管理,及时登记、更新台账，加强资产卡片管理,对各类实物资产进行全面盘点,确保账账、账实相符。</w:t>
      </w:r>
    </w:p>
    <w:p>
      <w:pPr>
        <w:pStyle w:val="12"/>
        <w:widowControl/>
        <w:spacing w:before="40" w:beforeAutospacing="0" w:after="0" w:afterAutospacing="0" w:line="520" w:lineRule="atLeast"/>
        <w:ind w:firstLine="272" w:firstLineChars="100"/>
        <w:jc w:val="both"/>
        <w:rPr>
          <w:rStyle w:val="16"/>
          <w:rFonts w:hint="eastAsia" w:ascii="仿宋_GB2312" w:hAnsi="宋体" w:eastAsia="仿宋_GB2312" w:cs="Times New Roman"/>
          <w:b w:val="0"/>
          <w:bCs w:val="0"/>
          <w:color w:val="000000" w:themeColor="text1"/>
          <w:spacing w:val="-4"/>
          <w:kern w:val="2"/>
          <w:sz w:val="28"/>
          <w:szCs w:val="28"/>
          <w:lang w:val="en-US" w:eastAsia="zh-CN" w:bidi="ar-SA"/>
          <w14:textFill>
            <w14:solidFill>
              <w14:schemeClr w14:val="tx1"/>
            </w14:solidFill>
          </w14:textFill>
        </w:rPr>
      </w:pPr>
      <w:r>
        <w:rPr>
          <w:rStyle w:val="16"/>
          <w:rFonts w:hint="eastAsia" w:ascii="仿宋_GB2312" w:hAnsi="宋体" w:eastAsia="仿宋_GB2312" w:cs="Times New Roman"/>
          <w:b w:val="0"/>
          <w:bCs w:val="0"/>
          <w:color w:val="000000" w:themeColor="text1"/>
          <w:spacing w:val="-4"/>
          <w:kern w:val="2"/>
          <w:sz w:val="28"/>
          <w:szCs w:val="28"/>
          <w:lang w:val="en-US" w:eastAsia="zh-CN" w:bidi="ar-SA"/>
          <w14:textFill>
            <w14:solidFill>
              <w14:schemeClr w14:val="tx1"/>
            </w14:solidFill>
          </w14:textFill>
        </w:rPr>
        <w:t>（二）加强学习。进一步明确如何参照考核体系，科学合理设定绩效目标，充分发挥预算绩效管理工作效用。</w:t>
      </w:r>
    </w:p>
    <w:p>
      <w:pPr>
        <w:pStyle w:val="12"/>
        <w:widowControl/>
        <w:spacing w:before="40" w:beforeAutospacing="0" w:after="0" w:afterAutospacing="0" w:line="520" w:lineRule="atLeast"/>
        <w:ind w:firstLine="272" w:firstLineChars="100"/>
        <w:jc w:val="both"/>
        <w:rPr>
          <w:rStyle w:val="16"/>
          <w:rFonts w:hint="eastAsia" w:ascii="仿宋_GB2312" w:hAnsi="宋体" w:eastAsia="仿宋_GB2312" w:cs="Times New Roman"/>
          <w:b w:val="0"/>
          <w:bCs w:val="0"/>
          <w:color w:val="000000" w:themeColor="text1"/>
          <w:spacing w:val="-4"/>
          <w:kern w:val="2"/>
          <w:sz w:val="28"/>
          <w:szCs w:val="28"/>
          <w:lang w:val="en-US" w:eastAsia="zh-CN" w:bidi="ar-SA"/>
          <w14:textFill>
            <w14:solidFill>
              <w14:schemeClr w14:val="tx1"/>
            </w14:solidFill>
          </w14:textFill>
        </w:rPr>
      </w:pPr>
      <w:r>
        <w:rPr>
          <w:rStyle w:val="16"/>
          <w:rFonts w:hint="eastAsia" w:ascii="仿宋_GB2312" w:hAnsi="宋体" w:eastAsia="仿宋_GB2312" w:cs="Times New Roman"/>
          <w:b w:val="0"/>
          <w:bCs w:val="0"/>
          <w:color w:val="000000" w:themeColor="text1"/>
          <w:spacing w:val="-4"/>
          <w:kern w:val="2"/>
          <w:sz w:val="28"/>
          <w:szCs w:val="28"/>
          <w:lang w:val="en-US" w:eastAsia="zh-CN" w:bidi="ar-SA"/>
          <w14:textFill>
            <w14:solidFill>
              <w14:schemeClr w14:val="tx1"/>
            </w14:solidFill>
          </w14:textFill>
        </w:rPr>
        <w:t>（三）财务上，会计核算要更加详细，为本单位各项工作的开展、总结、评估提供有效数据资料支撑,为各项业务工作更好的开展提供帮助。</w:t>
      </w:r>
    </w:p>
    <w:p>
      <w:pPr>
        <w:pStyle w:val="12"/>
        <w:widowControl/>
        <w:spacing w:before="40" w:beforeAutospacing="0" w:after="0" w:afterAutospacing="0" w:line="520" w:lineRule="atLeast"/>
        <w:ind w:firstLine="272" w:firstLineChars="100"/>
        <w:jc w:val="both"/>
        <w:rPr>
          <w:rStyle w:val="16"/>
          <w:rFonts w:hint="eastAsia" w:ascii="仿宋_GB2312" w:hAnsi="宋体" w:eastAsia="仿宋_GB2312" w:cs="Times New Roman"/>
          <w:b w:val="0"/>
          <w:bCs w:val="0"/>
          <w:color w:val="000000" w:themeColor="text1"/>
          <w:spacing w:val="-4"/>
          <w:kern w:val="2"/>
          <w:sz w:val="28"/>
          <w:szCs w:val="28"/>
          <w:lang w:val="en-US" w:eastAsia="zh-CN" w:bidi="ar-SA"/>
          <w14:textFill>
            <w14:solidFill>
              <w14:schemeClr w14:val="tx1"/>
            </w14:solidFill>
          </w14:textFill>
        </w:rPr>
      </w:pPr>
      <w:r>
        <w:rPr>
          <w:rStyle w:val="16"/>
          <w:rFonts w:hint="eastAsia" w:ascii="仿宋_GB2312" w:hAnsi="宋体" w:eastAsia="仿宋_GB2312" w:cs="Times New Roman"/>
          <w:b w:val="0"/>
          <w:bCs w:val="0"/>
          <w:color w:val="000000" w:themeColor="text1"/>
          <w:spacing w:val="-4"/>
          <w:kern w:val="2"/>
          <w:sz w:val="28"/>
          <w:szCs w:val="28"/>
          <w:lang w:val="en-US" w:eastAsia="zh-CN" w:bidi="ar-SA"/>
          <w14:textFill>
            <w14:solidFill>
              <w14:schemeClr w14:val="tx1"/>
            </w14:solidFill>
          </w14:textFill>
        </w:rPr>
        <w:t>（四）进一步提高绩效管理水平。由于目前的预算管理在编制和实施中还存在编制不细、预算调整较多、追加预算比重较大等现象,因此项目预算执行的准确性还有待加强,同时分析手段和技术水平上还有待完善。在今后的工作中,我们将加强与财政部门的紧密配合,开展好整体支出及项目资金绩效管理工作,运用好绩效评价的结果,不断提升预算管理水平。</w:t>
      </w:r>
    </w:p>
    <w:p>
      <w:pPr>
        <w:numPr>
          <w:ilvl w:val="0"/>
          <w:numId w:val="0"/>
        </w:numPr>
      </w:pPr>
    </w:p>
    <w:p>
      <w:pPr>
        <w:spacing w:line="360" w:lineRule="auto"/>
        <w:rPr>
          <w:rFonts w:ascii="仿宋" w:hAnsi="仿宋" w:eastAsia="仿宋"/>
          <w:sz w:val="22"/>
          <w:szCs w:val="28"/>
        </w:rPr>
      </w:pPr>
    </w:p>
    <w:p>
      <w:pPr>
        <w:pStyle w:val="4"/>
        <w:numPr>
          <w:ilvl w:val="0"/>
          <w:numId w:val="5"/>
        </w:numPr>
        <w:spacing w:line="360" w:lineRule="auto"/>
        <w:rPr>
          <w:rStyle w:val="16"/>
          <w:rFonts w:hint="eastAsia" w:ascii="仿宋" w:hAnsi="仿宋" w:eastAsia="仿宋"/>
          <w:b/>
          <w:bCs/>
        </w:rPr>
      </w:pPr>
      <w:bookmarkStart w:id="29" w:name="_Toc70450320"/>
      <w:r>
        <w:rPr>
          <w:rStyle w:val="16"/>
          <w:rFonts w:hint="eastAsia" w:ascii="仿宋" w:hAnsi="仿宋" w:eastAsia="仿宋"/>
          <w:b/>
          <w:bCs/>
        </w:rPr>
        <w:t>建议</w:t>
      </w:r>
      <w:bookmarkEnd w:id="29"/>
    </w:p>
    <w:p>
      <w:pPr>
        <w:numPr>
          <w:ilvl w:val="0"/>
          <w:numId w:val="0"/>
        </w:numPr>
        <w:ind w:firstLine="544" w:firstLineChars="200"/>
        <w:rPr>
          <w:rStyle w:val="16"/>
          <w:rFonts w:hint="eastAsia" w:ascii="仿宋_GB2312" w:hAnsi="宋体" w:eastAsia="仿宋_GB2312" w:cs="Times New Roman"/>
          <w:b w:val="0"/>
          <w:bCs w:val="0"/>
          <w:color w:val="000000" w:themeColor="text1"/>
          <w:spacing w:val="-4"/>
          <w:kern w:val="2"/>
          <w:sz w:val="28"/>
          <w:szCs w:val="28"/>
          <w:lang w:val="en-US" w:eastAsia="zh-CN" w:bidi="ar-SA"/>
          <w14:textFill>
            <w14:solidFill>
              <w14:schemeClr w14:val="tx1"/>
            </w14:solidFill>
          </w14:textFill>
        </w:rPr>
      </w:pPr>
      <w:r>
        <w:rPr>
          <w:rStyle w:val="16"/>
          <w:rFonts w:hint="eastAsia" w:ascii="仿宋_GB2312" w:hAnsi="宋体" w:eastAsia="仿宋_GB2312" w:cs="Times New Roman"/>
          <w:b w:val="0"/>
          <w:bCs w:val="0"/>
          <w:color w:val="000000" w:themeColor="text1"/>
          <w:spacing w:val="-4"/>
          <w:kern w:val="2"/>
          <w:sz w:val="28"/>
          <w:szCs w:val="28"/>
          <w:lang w:val="en-US" w:eastAsia="zh-CN" w:bidi="ar-SA"/>
          <w14:textFill>
            <w14:solidFill>
              <w14:schemeClr w14:val="tx1"/>
            </w14:solidFill>
          </w14:textFill>
        </w:rPr>
        <w:t>财政部门加强新行政单位会计制度和新预算法学习培训、规范账务处理，加强新《预算法》、《行政单位会计制度》 、《会计法》 、《行政单位财务规则》等学习培训,规范部门预算收支核算。 一是制定和完善基本支出、项目支出等各项支出标准,严格按项目进度执行预算, 增强预算的约束力和严肃性。二是落实预算执行分析,及时了解预算执行差异,合理调整、纠正预算执行偏差，切实提高部门预算收支管理水平。尽可能地做到决算与预算相衔接。</w:t>
      </w:r>
    </w:p>
    <w:p>
      <w:pPr>
        <w:spacing w:line="360" w:lineRule="auto"/>
        <w:rPr>
          <w:rStyle w:val="16"/>
          <w:rFonts w:hint="eastAsia" w:ascii="仿宋_GB2312" w:hAnsi="宋体" w:eastAsia="仿宋_GB2312" w:cs="Times New Roman"/>
          <w:b w:val="0"/>
          <w:bCs w:val="0"/>
          <w:color w:val="000000" w:themeColor="text1"/>
          <w:spacing w:val="-4"/>
          <w:kern w:val="2"/>
          <w:sz w:val="28"/>
          <w:szCs w:val="28"/>
          <w:lang w:val="en-US" w:eastAsia="zh-CN" w:bidi="ar-SA"/>
          <w14:textFill>
            <w14:solidFill>
              <w14:schemeClr w14:val="tx1"/>
            </w14:solidFill>
          </w14:textFill>
        </w:rPr>
      </w:pPr>
    </w:p>
    <w:p>
      <w:pPr>
        <w:pStyle w:val="3"/>
        <w:spacing w:line="360" w:lineRule="auto"/>
        <w:rPr>
          <w:rStyle w:val="16"/>
          <w:rFonts w:ascii="仿宋" w:hAnsi="仿宋" w:eastAsia="仿宋"/>
          <w:b/>
          <w:bCs/>
          <w:sz w:val="36"/>
          <w:szCs w:val="36"/>
        </w:rPr>
      </w:pPr>
      <w:bookmarkStart w:id="30" w:name="_Toc70450321"/>
      <w:r>
        <w:rPr>
          <w:rStyle w:val="16"/>
          <w:rFonts w:hint="eastAsia" w:ascii="仿宋" w:hAnsi="仿宋" w:eastAsia="仿宋"/>
          <w:b/>
          <w:bCs/>
          <w:sz w:val="36"/>
          <w:szCs w:val="36"/>
        </w:rPr>
        <w:t>八、附表</w:t>
      </w:r>
      <w:r>
        <w:rPr>
          <w:rStyle w:val="16"/>
          <w:rFonts w:hint="eastAsia" w:ascii="仿宋" w:hAnsi="仿宋" w:eastAsia="仿宋"/>
          <w:b w:val="0"/>
          <w:bCs w:val="0"/>
          <w:spacing w:val="-4"/>
          <w:sz w:val="36"/>
          <w:szCs w:val="36"/>
        </w:rPr>
        <w:t>：</w:t>
      </w:r>
      <w:bookmarkStart w:id="31" w:name="_Hlk70450148"/>
      <w:r>
        <w:rPr>
          <w:rStyle w:val="16"/>
          <w:rFonts w:hint="eastAsia" w:ascii="仿宋" w:hAnsi="仿宋" w:eastAsia="仿宋"/>
          <w:b/>
          <w:bCs/>
          <w:sz w:val="36"/>
          <w:szCs w:val="36"/>
        </w:rPr>
        <w:t>《部门整体支出绩效目标自评表》</w:t>
      </w:r>
      <w:bookmarkEnd w:id="30"/>
      <w:bookmarkEnd w:id="31"/>
    </w:p>
    <w:p>
      <w:pPr>
        <w:rPr>
          <w:rFonts w:hint="eastAsia" w:asciiTheme="minorEastAsia" w:hAnsiTheme="minorEastAsia"/>
          <w:b/>
          <w:bCs/>
          <w:color w:val="FF0000"/>
          <w:sz w:val="28"/>
          <w:szCs w:val="36"/>
        </w:rPr>
      </w:pPr>
    </w:p>
    <w:tbl>
      <w:tblPr>
        <w:tblStyle w:val="14"/>
        <w:tblW w:w="9652"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38"/>
        <w:gridCol w:w="1089"/>
        <w:gridCol w:w="1983"/>
        <w:gridCol w:w="1048"/>
        <w:gridCol w:w="1048"/>
        <w:gridCol w:w="843"/>
        <w:gridCol w:w="1048"/>
        <w:gridCol w:w="524"/>
        <w:gridCol w:w="418"/>
        <w:gridCol w:w="81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6" w:hRule="atLeast"/>
        </w:trPr>
        <w:tc>
          <w:tcPr>
            <w:tcW w:w="9652" w:type="dxa"/>
            <w:gridSpan w:val="10"/>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部门整体支出绩效目标自评表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9652" w:type="dxa"/>
            <w:gridSpan w:val="10"/>
            <w:tcBorders>
              <w:top w:val="nil"/>
              <w:left w:val="nil"/>
              <w:bottom w:val="single" w:color="auto"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(2021年)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9" w:hRule="atLeast"/>
        </w:trPr>
        <w:tc>
          <w:tcPr>
            <w:tcW w:w="1927" w:type="dxa"/>
            <w:gridSpan w:val="2"/>
            <w:tcBorders>
              <w:top w:val="single" w:color="auto"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部门（单位）名称</w:t>
            </w:r>
          </w:p>
        </w:tc>
        <w:tc>
          <w:tcPr>
            <w:tcW w:w="7725" w:type="dxa"/>
            <w:gridSpan w:val="8"/>
            <w:tcBorders>
              <w:top w:val="single" w:color="auto"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特克斯县接待处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9" w:hRule="atLeast"/>
        </w:trPr>
        <w:tc>
          <w:tcPr>
            <w:tcW w:w="838" w:type="dxa"/>
            <w:vMerge w:val="restart"/>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年度主要任务</w:t>
            </w:r>
          </w:p>
        </w:tc>
        <w:tc>
          <w:tcPr>
            <w:tcW w:w="10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任务名称</w:t>
            </w:r>
          </w:p>
        </w:tc>
        <w:tc>
          <w:tcPr>
            <w:tcW w:w="19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主要内容</w:t>
            </w:r>
          </w:p>
        </w:tc>
        <w:tc>
          <w:tcPr>
            <w:tcW w:w="293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预算金额（万元）</w:t>
            </w:r>
          </w:p>
        </w:tc>
        <w:tc>
          <w:tcPr>
            <w:tcW w:w="2803" w:type="dxa"/>
            <w:gridSpan w:val="4"/>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实际执行（万元）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9" w:hRule="atLeast"/>
        </w:trPr>
        <w:tc>
          <w:tcPr>
            <w:tcW w:w="838"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10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19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10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总额</w:t>
            </w:r>
          </w:p>
        </w:tc>
        <w:tc>
          <w:tcPr>
            <w:tcW w:w="10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财政拨款</w:t>
            </w:r>
          </w:p>
        </w:tc>
        <w:tc>
          <w:tcPr>
            <w:tcW w:w="8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其他资金</w:t>
            </w:r>
          </w:p>
        </w:tc>
        <w:tc>
          <w:tcPr>
            <w:tcW w:w="10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总额</w:t>
            </w:r>
          </w:p>
        </w:tc>
        <w:tc>
          <w:tcPr>
            <w:tcW w:w="94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财政拨款</w:t>
            </w:r>
          </w:p>
        </w:tc>
        <w:tc>
          <w:tcPr>
            <w:tcW w:w="813"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其他资金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08" w:hRule="atLeast"/>
        </w:trPr>
        <w:tc>
          <w:tcPr>
            <w:tcW w:w="838"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1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人员保障</w:t>
            </w:r>
          </w:p>
        </w:tc>
        <w:tc>
          <w:tcPr>
            <w:tcW w:w="19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用于保障部门单位人员发放工资福利支出及对个人和家庭补助</w:t>
            </w:r>
          </w:p>
        </w:tc>
        <w:tc>
          <w:tcPr>
            <w:tcW w:w="10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50.51</w:t>
            </w:r>
          </w:p>
        </w:tc>
        <w:tc>
          <w:tcPr>
            <w:tcW w:w="10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50.51</w:t>
            </w:r>
          </w:p>
        </w:tc>
        <w:tc>
          <w:tcPr>
            <w:tcW w:w="8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0</w:t>
            </w:r>
          </w:p>
        </w:tc>
        <w:tc>
          <w:tcPr>
            <w:tcW w:w="10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b/>
                <w:bCs/>
                <w:i w:val="0"/>
                <w:iCs w:val="0"/>
                <w:color w:val="000000"/>
                <w:sz w:val="20"/>
                <w:szCs w:val="20"/>
                <w:u w:val="none"/>
                <w:lang w:val="en-US"/>
              </w:rPr>
            </w:pPr>
            <w:r>
              <w:rPr>
                <w:rFonts w:hint="eastAsia" w:ascii="宋体" w:hAnsi="宋体" w:eastAsia="宋体" w:cs="宋体"/>
                <w:b/>
                <w:bCs/>
                <w:i w:val="0"/>
                <w:iCs w:val="0"/>
                <w:color w:val="000000"/>
                <w:kern w:val="0"/>
                <w:sz w:val="20"/>
                <w:szCs w:val="20"/>
                <w:u w:val="none"/>
                <w:lang w:val="en-US" w:eastAsia="zh-CN" w:bidi="ar"/>
              </w:rPr>
              <w:t>50.51</w:t>
            </w:r>
          </w:p>
        </w:tc>
        <w:tc>
          <w:tcPr>
            <w:tcW w:w="94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b/>
                <w:bCs/>
                <w:i w:val="0"/>
                <w:iCs w:val="0"/>
                <w:color w:val="000000"/>
                <w:sz w:val="20"/>
                <w:szCs w:val="20"/>
                <w:u w:val="none"/>
                <w:lang w:val="en-US"/>
              </w:rPr>
            </w:pPr>
            <w:r>
              <w:rPr>
                <w:rFonts w:hint="eastAsia" w:ascii="宋体" w:hAnsi="宋体" w:eastAsia="宋体" w:cs="宋体"/>
                <w:b/>
                <w:bCs/>
                <w:i w:val="0"/>
                <w:iCs w:val="0"/>
                <w:color w:val="000000"/>
                <w:kern w:val="0"/>
                <w:sz w:val="20"/>
                <w:szCs w:val="20"/>
                <w:u w:val="none"/>
                <w:lang w:val="en-US" w:eastAsia="zh-CN" w:bidi="ar"/>
              </w:rPr>
              <w:t>50.51</w:t>
            </w:r>
          </w:p>
        </w:tc>
        <w:tc>
          <w:tcPr>
            <w:tcW w:w="813" w:type="dxa"/>
            <w:tcBorders>
              <w:top w:val="single" w:color="000000" w:sz="4" w:space="0"/>
              <w:left w:val="single" w:color="000000" w:sz="4" w:space="0"/>
              <w:bottom w:val="single" w:color="000000" w:sz="4" w:space="0"/>
              <w:right w:val="single" w:color="auto" w:sz="4" w:space="0"/>
            </w:tcBorders>
            <w:shd w:val="clear" w:color="auto" w:fill="auto"/>
            <w:vAlign w:val="center"/>
          </w:tcPr>
          <w:p>
            <w:pPr>
              <w:jc w:val="center"/>
              <w:rPr>
                <w:rFonts w:hint="eastAsia" w:ascii="宋体" w:hAnsi="宋体" w:eastAsia="宋体" w:cs="宋体"/>
                <w:b/>
                <w:bCs/>
                <w:i w:val="0"/>
                <w:iCs w:val="0"/>
                <w:color w:val="000000"/>
                <w:sz w:val="20"/>
                <w:szCs w:val="20"/>
                <w:u w:val="none"/>
                <w:lang w:val="en-US" w:eastAsia="zh-CN"/>
              </w:rPr>
            </w:pPr>
            <w:r>
              <w:rPr>
                <w:rFonts w:hint="eastAsia" w:ascii="宋体" w:hAnsi="宋体" w:eastAsia="宋体" w:cs="宋体"/>
                <w:b/>
                <w:bCs/>
                <w:i w:val="0"/>
                <w:iCs w:val="0"/>
                <w:color w:val="000000"/>
                <w:sz w:val="20"/>
                <w:szCs w:val="20"/>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9" w:hRule="atLeast"/>
        </w:trPr>
        <w:tc>
          <w:tcPr>
            <w:tcW w:w="838"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1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运转保障</w:t>
            </w:r>
          </w:p>
        </w:tc>
        <w:tc>
          <w:tcPr>
            <w:tcW w:w="19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用于日常办公费、取暖费、三公经费、工会经费、福利费及其它商品和服务支出</w:t>
            </w:r>
          </w:p>
        </w:tc>
        <w:tc>
          <w:tcPr>
            <w:tcW w:w="10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0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8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0</w:t>
            </w:r>
          </w:p>
        </w:tc>
        <w:tc>
          <w:tcPr>
            <w:tcW w:w="10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w:t>
            </w:r>
          </w:p>
        </w:tc>
        <w:tc>
          <w:tcPr>
            <w:tcW w:w="94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w:t>
            </w:r>
          </w:p>
        </w:tc>
        <w:tc>
          <w:tcPr>
            <w:tcW w:w="813" w:type="dxa"/>
            <w:tcBorders>
              <w:top w:val="single" w:color="000000" w:sz="4" w:space="0"/>
              <w:left w:val="single" w:color="000000" w:sz="4" w:space="0"/>
              <w:bottom w:val="single" w:color="000000" w:sz="4" w:space="0"/>
              <w:right w:val="single" w:color="auto" w:sz="4" w:space="0"/>
            </w:tcBorders>
            <w:shd w:val="clear" w:color="auto" w:fill="auto"/>
            <w:vAlign w:val="center"/>
          </w:tcPr>
          <w:p>
            <w:pPr>
              <w:jc w:val="center"/>
              <w:rPr>
                <w:rFonts w:hint="eastAsia" w:ascii="宋体" w:hAnsi="宋体" w:eastAsia="宋体" w:cs="宋体"/>
                <w:b/>
                <w:bCs/>
                <w:i w:val="0"/>
                <w:iCs w:val="0"/>
                <w:color w:val="000000"/>
                <w:sz w:val="20"/>
                <w:szCs w:val="20"/>
                <w:u w:val="none"/>
                <w:lang w:val="en-US" w:eastAsia="zh-CN"/>
              </w:rPr>
            </w:pPr>
            <w:r>
              <w:rPr>
                <w:rFonts w:hint="eastAsia" w:ascii="宋体" w:hAnsi="宋体" w:eastAsia="宋体" w:cs="宋体"/>
                <w:b/>
                <w:bCs/>
                <w:i w:val="0"/>
                <w:iCs w:val="0"/>
                <w:color w:val="000000"/>
                <w:sz w:val="20"/>
                <w:szCs w:val="20"/>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9" w:hRule="atLeast"/>
        </w:trPr>
        <w:tc>
          <w:tcPr>
            <w:tcW w:w="838" w:type="dxa"/>
            <w:vMerge w:val="continue"/>
            <w:tcBorders>
              <w:top w:val="single" w:color="000000" w:sz="4" w:space="0"/>
              <w:left w:val="single" w:color="auto" w:sz="4" w:space="0"/>
              <w:bottom w:val="single" w:color="auto"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30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金额合计</w:t>
            </w:r>
          </w:p>
        </w:tc>
        <w:tc>
          <w:tcPr>
            <w:tcW w:w="10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52.51</w:t>
            </w:r>
          </w:p>
        </w:tc>
        <w:tc>
          <w:tcPr>
            <w:tcW w:w="10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52.51</w:t>
            </w:r>
          </w:p>
        </w:tc>
        <w:tc>
          <w:tcPr>
            <w:tcW w:w="8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0</w:t>
            </w:r>
          </w:p>
        </w:tc>
        <w:tc>
          <w:tcPr>
            <w:tcW w:w="10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52.51</w:t>
            </w:r>
          </w:p>
        </w:tc>
        <w:tc>
          <w:tcPr>
            <w:tcW w:w="94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52.51</w:t>
            </w:r>
          </w:p>
        </w:tc>
        <w:tc>
          <w:tcPr>
            <w:tcW w:w="813" w:type="dxa"/>
            <w:tcBorders>
              <w:top w:val="single" w:color="000000" w:sz="4" w:space="0"/>
              <w:left w:val="single" w:color="000000" w:sz="4" w:space="0"/>
              <w:bottom w:val="single" w:color="000000" w:sz="4" w:space="0"/>
              <w:right w:val="single" w:color="auto" w:sz="4" w:space="0"/>
            </w:tcBorders>
            <w:shd w:val="clear" w:color="auto" w:fill="auto"/>
            <w:vAlign w:val="center"/>
          </w:tcPr>
          <w:p>
            <w:pPr>
              <w:jc w:val="center"/>
              <w:rPr>
                <w:rFonts w:hint="eastAsia" w:ascii="宋体" w:hAnsi="宋体" w:eastAsia="宋体" w:cs="宋体"/>
                <w:b/>
                <w:bCs/>
                <w:i w:val="0"/>
                <w:iCs w:val="0"/>
                <w:color w:val="000000"/>
                <w:sz w:val="24"/>
                <w:szCs w:val="24"/>
                <w:u w:val="none"/>
                <w:lang w:val="en-US" w:eastAsia="zh-CN"/>
              </w:rPr>
            </w:pPr>
            <w:r>
              <w:rPr>
                <w:rFonts w:hint="eastAsia" w:ascii="宋体" w:hAnsi="宋体" w:eastAsia="宋体" w:cs="宋体"/>
                <w:b/>
                <w:bCs/>
                <w:i w:val="0"/>
                <w:iCs w:val="0"/>
                <w:color w:val="000000"/>
                <w:sz w:val="24"/>
                <w:szCs w:val="24"/>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9" w:hRule="atLeast"/>
        </w:trPr>
        <w:tc>
          <w:tcPr>
            <w:tcW w:w="83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年度总体目标</w:t>
            </w:r>
          </w:p>
        </w:tc>
        <w:tc>
          <w:tcPr>
            <w:tcW w:w="4120"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预期目标</w:t>
            </w:r>
          </w:p>
        </w:tc>
        <w:tc>
          <w:tcPr>
            <w:tcW w:w="4694" w:type="dxa"/>
            <w:gridSpan w:val="6"/>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实际完成目标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39" w:hRule="atLeast"/>
        </w:trPr>
        <w:tc>
          <w:tcPr>
            <w:tcW w:w="83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4120"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目标1:贯彻落实县委、政府及接待工作的原则、要求 。                                                                                               目标2：协助县委、政府做好全县性会议、活动、调研的接待工作。                                                                                               目标3：保障全处日常工作运转、提高工作效率和工作质量。                                                               目标4:保障全处系统人员工资及社保正常发放。                                                                               目标5：认真贯彻落实中央八项规定，紧紧围绕全县中心工作，文明节俭，规范有序的工作宗旨，实现优质、高效，为全县各项工作的开展提供有力的后勤保障。</w:t>
            </w:r>
          </w:p>
        </w:tc>
        <w:tc>
          <w:tcPr>
            <w:tcW w:w="4694" w:type="dxa"/>
            <w:gridSpan w:val="6"/>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目标1:贯彻落实县委、政府及接待工作的原则、要求 。                                                                                               目标2：协助县委、政府做好全县性会议、活动、调研的接待工作。                                                                                               目标3：保障全处日常工作运转、提高工作效率和工作质量。                                                               目标4:保障全处系统人员工资及社保正常发放。                                                                               目标5：认真贯彻落实中央八项规定，紧紧围绕全县中心工作，文明节俭，规范有序的工作宗旨，实现优质、高效，为全县各项工作的开展提供有力的后勤保障。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9" w:hRule="atLeast"/>
        </w:trPr>
        <w:tc>
          <w:tcPr>
            <w:tcW w:w="838" w:type="dxa"/>
            <w:vMerge w:val="restart"/>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年度绩效指标</w:t>
            </w:r>
          </w:p>
        </w:tc>
        <w:tc>
          <w:tcPr>
            <w:tcW w:w="1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一级指标</w:t>
            </w:r>
          </w:p>
        </w:tc>
        <w:tc>
          <w:tcPr>
            <w:tcW w:w="19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二级指标</w:t>
            </w:r>
          </w:p>
        </w:tc>
        <w:tc>
          <w:tcPr>
            <w:tcW w:w="293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三级指标</w:t>
            </w:r>
          </w:p>
        </w:tc>
        <w:tc>
          <w:tcPr>
            <w:tcW w:w="15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预期指标值（包含数字及文字描述）</w:t>
            </w:r>
          </w:p>
        </w:tc>
        <w:tc>
          <w:tcPr>
            <w:tcW w:w="1231"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实际完成指标值（包含数字及文字描述）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9" w:hRule="atLeast"/>
        </w:trPr>
        <w:tc>
          <w:tcPr>
            <w:tcW w:w="838" w:type="dxa"/>
            <w:vMerge w:val="continue"/>
            <w:tcBorders>
              <w:top w:val="single" w:color="auto" w:sz="4" w:space="0"/>
              <w:left w:val="single" w:color="auto" w:sz="4" w:space="0"/>
              <w:bottom w:val="single" w:color="auto"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1089"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产出指标</w:t>
            </w:r>
          </w:p>
        </w:tc>
        <w:tc>
          <w:tcPr>
            <w:tcW w:w="1983"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数量指标</w:t>
            </w:r>
          </w:p>
        </w:tc>
        <w:tc>
          <w:tcPr>
            <w:tcW w:w="293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保障在职人员人数</w:t>
            </w:r>
          </w:p>
        </w:tc>
        <w:tc>
          <w:tcPr>
            <w:tcW w:w="1572" w:type="dxa"/>
            <w:gridSpan w:val="2"/>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≧4人</w:t>
            </w:r>
          </w:p>
        </w:tc>
        <w:tc>
          <w:tcPr>
            <w:tcW w:w="1231"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9" w:hRule="atLeast"/>
        </w:trPr>
        <w:tc>
          <w:tcPr>
            <w:tcW w:w="838" w:type="dxa"/>
            <w:vMerge w:val="continue"/>
            <w:tcBorders>
              <w:top w:val="single" w:color="auto" w:sz="4" w:space="0"/>
              <w:left w:val="single" w:color="auto" w:sz="4" w:space="0"/>
              <w:bottom w:val="single" w:color="auto"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108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98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293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退休人数</w:t>
            </w:r>
          </w:p>
        </w:tc>
        <w:tc>
          <w:tcPr>
            <w:tcW w:w="1572" w:type="dxa"/>
            <w:gridSpan w:val="2"/>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≧14人</w:t>
            </w:r>
          </w:p>
        </w:tc>
        <w:tc>
          <w:tcPr>
            <w:tcW w:w="1231"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14人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9" w:hRule="atLeast"/>
        </w:trPr>
        <w:tc>
          <w:tcPr>
            <w:tcW w:w="838" w:type="dxa"/>
            <w:vMerge w:val="continue"/>
            <w:tcBorders>
              <w:top w:val="single" w:color="auto" w:sz="4" w:space="0"/>
              <w:left w:val="single" w:color="auto" w:sz="4" w:space="0"/>
              <w:bottom w:val="single" w:color="auto"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108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98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293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保障公用车数量</w:t>
            </w:r>
          </w:p>
        </w:tc>
        <w:tc>
          <w:tcPr>
            <w:tcW w:w="1572" w:type="dxa"/>
            <w:gridSpan w:val="2"/>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≧1辆</w:t>
            </w:r>
          </w:p>
        </w:tc>
        <w:tc>
          <w:tcPr>
            <w:tcW w:w="1231"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9" w:hRule="atLeast"/>
        </w:trPr>
        <w:tc>
          <w:tcPr>
            <w:tcW w:w="838" w:type="dxa"/>
            <w:vMerge w:val="continue"/>
            <w:tcBorders>
              <w:top w:val="single" w:color="auto" w:sz="4" w:space="0"/>
              <w:left w:val="single" w:color="auto" w:sz="4" w:space="0"/>
              <w:bottom w:val="single" w:color="auto"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108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983"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质量指标</w:t>
            </w:r>
          </w:p>
        </w:tc>
        <w:tc>
          <w:tcPr>
            <w:tcW w:w="293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工资及公用经费保障率</w:t>
            </w:r>
          </w:p>
        </w:tc>
        <w:tc>
          <w:tcPr>
            <w:tcW w:w="1572" w:type="dxa"/>
            <w:gridSpan w:val="2"/>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≥94%</w:t>
            </w:r>
          </w:p>
        </w:tc>
        <w:tc>
          <w:tcPr>
            <w:tcW w:w="1231"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0"/>
                <w:szCs w:val="20"/>
                <w:highlight w:val="none"/>
                <w:u w:val="none"/>
                <w:lang w:val="en-US"/>
              </w:rPr>
            </w:pPr>
            <w:r>
              <w:rPr>
                <w:rFonts w:hint="eastAsia" w:ascii="宋体" w:hAnsi="宋体" w:eastAsia="宋体" w:cs="宋体"/>
                <w:i w:val="0"/>
                <w:iCs w:val="0"/>
                <w:color w:val="000000"/>
                <w:kern w:val="0"/>
                <w:sz w:val="20"/>
                <w:szCs w:val="20"/>
                <w:highlight w:val="none"/>
                <w:u w:val="none"/>
                <w:lang w:val="en-US" w:eastAsia="zh-CN" w:bidi="ar"/>
              </w:rPr>
              <w:t>94%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9" w:hRule="atLeast"/>
        </w:trPr>
        <w:tc>
          <w:tcPr>
            <w:tcW w:w="838" w:type="dxa"/>
            <w:vMerge w:val="continue"/>
            <w:tcBorders>
              <w:top w:val="single" w:color="auto" w:sz="4" w:space="0"/>
              <w:left w:val="single" w:color="auto" w:sz="4" w:space="0"/>
              <w:bottom w:val="single" w:color="auto"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108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983"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时效指标</w:t>
            </w:r>
          </w:p>
        </w:tc>
        <w:tc>
          <w:tcPr>
            <w:tcW w:w="293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资金发放及时率</w:t>
            </w:r>
          </w:p>
        </w:tc>
        <w:tc>
          <w:tcPr>
            <w:tcW w:w="1572" w:type="dxa"/>
            <w:gridSpan w:val="2"/>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≥98%</w:t>
            </w:r>
          </w:p>
        </w:tc>
        <w:tc>
          <w:tcPr>
            <w:tcW w:w="1231"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9" w:hRule="atLeast"/>
        </w:trPr>
        <w:tc>
          <w:tcPr>
            <w:tcW w:w="838" w:type="dxa"/>
            <w:vMerge w:val="continue"/>
            <w:tcBorders>
              <w:top w:val="single" w:color="auto" w:sz="4" w:space="0"/>
              <w:left w:val="single" w:color="auto" w:sz="4" w:space="0"/>
              <w:bottom w:val="single" w:color="auto"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108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98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293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工资及各项社保发放及时率</w:t>
            </w:r>
          </w:p>
        </w:tc>
        <w:tc>
          <w:tcPr>
            <w:tcW w:w="1572" w:type="dxa"/>
            <w:gridSpan w:val="2"/>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≥100%</w:t>
            </w:r>
          </w:p>
        </w:tc>
        <w:tc>
          <w:tcPr>
            <w:tcW w:w="1231"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9" w:hRule="atLeast"/>
        </w:trPr>
        <w:tc>
          <w:tcPr>
            <w:tcW w:w="838" w:type="dxa"/>
            <w:vMerge w:val="continue"/>
            <w:tcBorders>
              <w:top w:val="single" w:color="auto" w:sz="4" w:space="0"/>
              <w:left w:val="single" w:color="auto" w:sz="4" w:space="0"/>
              <w:bottom w:val="single" w:color="auto"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108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983"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成本指标</w:t>
            </w:r>
          </w:p>
        </w:tc>
        <w:tc>
          <w:tcPr>
            <w:tcW w:w="293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保障人员人均支出标准</w:t>
            </w:r>
          </w:p>
        </w:tc>
        <w:tc>
          <w:tcPr>
            <w:tcW w:w="1572" w:type="dxa"/>
            <w:gridSpan w:val="2"/>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≦2.81万元</w:t>
            </w:r>
          </w:p>
        </w:tc>
        <w:tc>
          <w:tcPr>
            <w:tcW w:w="1231"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2.81万元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9" w:hRule="atLeast"/>
        </w:trPr>
        <w:tc>
          <w:tcPr>
            <w:tcW w:w="838" w:type="dxa"/>
            <w:vMerge w:val="continue"/>
            <w:tcBorders>
              <w:top w:val="single" w:color="auto" w:sz="4" w:space="0"/>
              <w:left w:val="single" w:color="auto" w:sz="4" w:space="0"/>
              <w:bottom w:val="single" w:color="auto"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108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98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293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公用车经费</w:t>
            </w:r>
          </w:p>
        </w:tc>
        <w:tc>
          <w:tcPr>
            <w:tcW w:w="1572" w:type="dxa"/>
            <w:gridSpan w:val="2"/>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≦0.8万元</w:t>
            </w:r>
          </w:p>
        </w:tc>
        <w:tc>
          <w:tcPr>
            <w:tcW w:w="1231"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0.8万元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9" w:hRule="atLeast"/>
        </w:trPr>
        <w:tc>
          <w:tcPr>
            <w:tcW w:w="838" w:type="dxa"/>
            <w:vMerge w:val="continue"/>
            <w:tcBorders>
              <w:top w:val="single" w:color="auto" w:sz="4" w:space="0"/>
              <w:left w:val="single" w:color="auto" w:sz="4" w:space="0"/>
              <w:bottom w:val="single" w:color="auto"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108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98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293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人均运转经费</w:t>
            </w:r>
          </w:p>
        </w:tc>
        <w:tc>
          <w:tcPr>
            <w:tcW w:w="1572" w:type="dxa"/>
            <w:gridSpan w:val="2"/>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≦0.07万元</w:t>
            </w:r>
          </w:p>
        </w:tc>
        <w:tc>
          <w:tcPr>
            <w:tcW w:w="1231"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0.07万元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9" w:hRule="atLeast"/>
        </w:trPr>
        <w:tc>
          <w:tcPr>
            <w:tcW w:w="838" w:type="dxa"/>
            <w:vMerge w:val="continue"/>
            <w:tcBorders>
              <w:top w:val="single" w:color="auto" w:sz="4" w:space="0"/>
              <w:left w:val="single" w:color="auto" w:sz="4" w:space="0"/>
              <w:bottom w:val="single" w:color="auto"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1089" w:type="dxa"/>
            <w:vMerge w:val="restart"/>
            <w:tcBorders>
              <w:top w:val="nil"/>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效益指标</w:t>
            </w:r>
          </w:p>
        </w:tc>
        <w:tc>
          <w:tcPr>
            <w:tcW w:w="1983"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社会效益指标</w:t>
            </w:r>
          </w:p>
        </w:tc>
        <w:tc>
          <w:tcPr>
            <w:tcW w:w="293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推动接待各项工作有序、顺利进行</w:t>
            </w:r>
          </w:p>
        </w:tc>
        <w:tc>
          <w:tcPr>
            <w:tcW w:w="1572" w:type="dxa"/>
            <w:gridSpan w:val="2"/>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有效推动</w:t>
            </w:r>
          </w:p>
        </w:tc>
        <w:tc>
          <w:tcPr>
            <w:tcW w:w="1231"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有效推动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9" w:hRule="atLeast"/>
        </w:trPr>
        <w:tc>
          <w:tcPr>
            <w:tcW w:w="838" w:type="dxa"/>
            <w:vMerge w:val="continue"/>
            <w:tcBorders>
              <w:top w:val="single" w:color="auto" w:sz="4" w:space="0"/>
              <w:left w:val="single" w:color="auto" w:sz="4" w:space="0"/>
              <w:bottom w:val="single" w:color="auto"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1089" w:type="dxa"/>
            <w:vMerge w:val="continue"/>
            <w:tcBorders>
              <w:top w:val="nil"/>
              <w:left w:val="single" w:color="000000" w:sz="4" w:space="0"/>
              <w:bottom w:val="nil"/>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98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293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促进相关政策落地落实</w:t>
            </w:r>
          </w:p>
        </w:tc>
        <w:tc>
          <w:tcPr>
            <w:tcW w:w="1572" w:type="dxa"/>
            <w:gridSpan w:val="2"/>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有效促进</w:t>
            </w:r>
          </w:p>
        </w:tc>
        <w:tc>
          <w:tcPr>
            <w:tcW w:w="1231"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有效促进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9" w:hRule="atLeast"/>
        </w:trPr>
        <w:tc>
          <w:tcPr>
            <w:tcW w:w="838" w:type="dxa"/>
            <w:vMerge w:val="continue"/>
            <w:tcBorders>
              <w:top w:val="single" w:color="auto" w:sz="4" w:space="0"/>
              <w:left w:val="single" w:color="auto" w:sz="4" w:space="0"/>
              <w:bottom w:val="single" w:color="auto"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1089"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满意度指标</w:t>
            </w:r>
          </w:p>
        </w:tc>
        <w:tc>
          <w:tcPr>
            <w:tcW w:w="1983"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满意度指标</w:t>
            </w:r>
          </w:p>
        </w:tc>
        <w:tc>
          <w:tcPr>
            <w:tcW w:w="293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职工满意度</w:t>
            </w:r>
          </w:p>
        </w:tc>
        <w:tc>
          <w:tcPr>
            <w:tcW w:w="1572" w:type="dxa"/>
            <w:gridSpan w:val="2"/>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≥95%</w:t>
            </w:r>
          </w:p>
        </w:tc>
        <w:tc>
          <w:tcPr>
            <w:tcW w:w="1231"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9" w:hRule="atLeast"/>
        </w:trPr>
        <w:tc>
          <w:tcPr>
            <w:tcW w:w="838" w:type="dxa"/>
            <w:vMerge w:val="continue"/>
            <w:tcBorders>
              <w:top w:val="single" w:color="auto" w:sz="4" w:space="0"/>
              <w:left w:val="single" w:color="auto" w:sz="4" w:space="0"/>
              <w:bottom w:val="single" w:color="auto"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1089" w:type="dxa"/>
            <w:vMerge w:val="continue"/>
            <w:tcBorders>
              <w:top w:val="single" w:color="000000" w:sz="4" w:space="0"/>
              <w:left w:val="single" w:color="000000" w:sz="4" w:space="0"/>
              <w:bottom w:val="single" w:color="auto"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983" w:type="dxa"/>
            <w:vMerge w:val="continue"/>
            <w:tcBorders>
              <w:top w:val="single" w:color="000000" w:sz="4" w:space="0"/>
              <w:left w:val="single" w:color="000000" w:sz="4" w:space="0"/>
              <w:bottom w:val="single" w:color="auto"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2939" w:type="dxa"/>
            <w:gridSpan w:val="3"/>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相关单位满意度</w:t>
            </w:r>
          </w:p>
        </w:tc>
        <w:tc>
          <w:tcPr>
            <w:tcW w:w="1572" w:type="dxa"/>
            <w:gridSpan w:val="2"/>
            <w:tcBorders>
              <w:top w:val="single" w:color="000000" w:sz="4" w:space="0"/>
              <w:left w:val="single" w:color="000000" w:sz="4" w:space="0"/>
              <w:bottom w:val="single" w:color="auto"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≥95%</w:t>
            </w:r>
          </w:p>
        </w:tc>
        <w:tc>
          <w:tcPr>
            <w:tcW w:w="1231" w:type="dxa"/>
            <w:gridSpan w:val="2"/>
            <w:tcBorders>
              <w:top w:val="single" w:color="000000" w:sz="4" w:space="0"/>
              <w:left w:val="single" w:color="000000"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95%</w:t>
            </w:r>
          </w:p>
        </w:tc>
      </w:tr>
    </w:tbl>
    <w:p/>
    <w:p>
      <w:pPr>
        <w:rPr>
          <w:rFonts w:ascii="仿宋" w:hAnsi="仿宋" w:eastAsia="仿宋" w:cs="宋体"/>
          <w:color w:val="333333"/>
          <w:sz w:val="32"/>
          <w:szCs w:val="32"/>
          <w:lang w:bidi="ar"/>
        </w:rPr>
      </w:pPr>
    </w:p>
    <w:sectPr>
      <w:footerReference r:id="rId3" w:type="default"/>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07485271"/>
      <w:docPartObj>
        <w:docPartGallery w:val="autotext"/>
      </w:docPartObj>
    </w:sdtPr>
    <w:sdtEndPr>
      <w:rPr>
        <w:rFonts w:asciiTheme="minorEastAsia" w:hAnsiTheme="minorEastAsia"/>
        <w:sz w:val="28"/>
        <w:szCs w:val="28"/>
      </w:rPr>
    </w:sdtEndPr>
    <w:sdtContent>
      <w:p>
        <w:pPr>
          <w:pStyle w:val="7"/>
          <w:jc w:val="center"/>
          <w:rPr>
            <w:rFonts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 xml:space="preserve">PAGE   \* MERGEFORMAT</w:instrText>
        </w:r>
        <w:r>
          <w:rPr>
            <w:rFonts w:asciiTheme="minorEastAsia" w:hAnsiTheme="minorEastAsia"/>
            <w:sz w:val="28"/>
            <w:szCs w:val="28"/>
          </w:rPr>
          <w:fldChar w:fldCharType="separate"/>
        </w:r>
        <w:r>
          <w:rPr>
            <w:rFonts w:asciiTheme="minorEastAsia" w:hAnsiTheme="minorEastAsia"/>
            <w:sz w:val="28"/>
            <w:szCs w:val="28"/>
            <w:lang w:val="zh-CN"/>
          </w:rPr>
          <w:t>-</w:t>
        </w:r>
        <w:r>
          <w:rPr>
            <w:rFonts w:asciiTheme="minorEastAsia" w:hAnsiTheme="minorEastAsia"/>
            <w:sz w:val="28"/>
            <w:szCs w:val="28"/>
          </w:rPr>
          <w:t xml:space="preserve"> 25 -</w:t>
        </w:r>
        <w:r>
          <w:rPr>
            <w:rFonts w:asciiTheme="minorEastAsia" w:hAnsiTheme="minorEastAsia"/>
            <w:sz w:val="28"/>
            <w:szCs w:val="28"/>
          </w:rPr>
          <w:fldChar w:fldCharType="end"/>
        </w:r>
      </w:p>
    </w:sdtContent>
  </w:sdt>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DD5F70"/>
    <w:multiLevelType w:val="singleLevel"/>
    <w:tmpl w:val="80DD5F70"/>
    <w:lvl w:ilvl="0" w:tentative="0">
      <w:start w:val="3"/>
      <w:numFmt w:val="decimal"/>
      <w:suff w:val="nothing"/>
      <w:lvlText w:val="%1、"/>
      <w:lvlJc w:val="left"/>
    </w:lvl>
  </w:abstractNum>
  <w:abstractNum w:abstractNumId="1">
    <w:nsid w:val="9410BCB1"/>
    <w:multiLevelType w:val="singleLevel"/>
    <w:tmpl w:val="9410BCB1"/>
    <w:lvl w:ilvl="0" w:tentative="0">
      <w:start w:val="6"/>
      <w:numFmt w:val="chineseCounting"/>
      <w:suff w:val="nothing"/>
      <w:lvlText w:val="%1、"/>
      <w:lvlJc w:val="left"/>
      <w:rPr>
        <w:rFonts w:hint="eastAsia"/>
      </w:rPr>
    </w:lvl>
  </w:abstractNum>
  <w:abstractNum w:abstractNumId="2">
    <w:nsid w:val="A96FFE17"/>
    <w:multiLevelType w:val="singleLevel"/>
    <w:tmpl w:val="A96FFE17"/>
    <w:lvl w:ilvl="0" w:tentative="0">
      <w:start w:val="1"/>
      <w:numFmt w:val="chineseCounting"/>
      <w:suff w:val="nothing"/>
      <w:lvlText w:val="（%1）"/>
      <w:lvlJc w:val="left"/>
      <w:rPr>
        <w:rFonts w:hint="eastAsia"/>
      </w:rPr>
    </w:lvl>
  </w:abstractNum>
  <w:abstractNum w:abstractNumId="3">
    <w:nsid w:val="B7E0245B"/>
    <w:multiLevelType w:val="singleLevel"/>
    <w:tmpl w:val="B7E0245B"/>
    <w:lvl w:ilvl="0" w:tentative="0">
      <w:start w:val="2"/>
      <w:numFmt w:val="chineseCounting"/>
      <w:suff w:val="nothing"/>
      <w:lvlText w:val="（%1）"/>
      <w:lvlJc w:val="left"/>
      <w:rPr>
        <w:rFonts w:hint="eastAsia"/>
      </w:rPr>
    </w:lvl>
  </w:abstractNum>
  <w:abstractNum w:abstractNumId="4">
    <w:nsid w:val="4EF1E22C"/>
    <w:multiLevelType w:val="singleLevel"/>
    <w:tmpl w:val="4EF1E22C"/>
    <w:lvl w:ilvl="0" w:tentative="0">
      <w:start w:val="1"/>
      <w:numFmt w:val="decimal"/>
      <w:suff w:val="nothing"/>
      <w:lvlText w:val="（%1）"/>
      <w:lvlJc w:val="left"/>
    </w:lvl>
  </w:abstractNum>
  <w:num w:numId="1">
    <w:abstractNumId w:val="0"/>
  </w:num>
  <w:num w:numId="2">
    <w:abstractNumId w:val="4"/>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9"/>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I1MDZlYmI5MDk0MTg0NGQ5YjU3MzZhZWMwZGE3NjIifQ=="/>
  </w:docVars>
  <w:rsids>
    <w:rsidRoot w:val="00633862"/>
    <w:rsid w:val="00025A44"/>
    <w:rsid w:val="00072084"/>
    <w:rsid w:val="0009422A"/>
    <w:rsid w:val="000B6B13"/>
    <w:rsid w:val="000D1DEE"/>
    <w:rsid w:val="000D3AFA"/>
    <w:rsid w:val="00105D60"/>
    <w:rsid w:val="001121F2"/>
    <w:rsid w:val="00112859"/>
    <w:rsid w:val="001173EB"/>
    <w:rsid w:val="00150C4C"/>
    <w:rsid w:val="00191BA3"/>
    <w:rsid w:val="001A2299"/>
    <w:rsid w:val="001A3A0E"/>
    <w:rsid w:val="001F630E"/>
    <w:rsid w:val="0022744B"/>
    <w:rsid w:val="00234372"/>
    <w:rsid w:val="00234B37"/>
    <w:rsid w:val="00246941"/>
    <w:rsid w:val="002764C7"/>
    <w:rsid w:val="002D075E"/>
    <w:rsid w:val="00303A08"/>
    <w:rsid w:val="003226C4"/>
    <w:rsid w:val="003E3DEF"/>
    <w:rsid w:val="003E7C70"/>
    <w:rsid w:val="0049337C"/>
    <w:rsid w:val="004C4C4D"/>
    <w:rsid w:val="004C6FF3"/>
    <w:rsid w:val="004E69F5"/>
    <w:rsid w:val="004E7AAC"/>
    <w:rsid w:val="00531A31"/>
    <w:rsid w:val="00533C6C"/>
    <w:rsid w:val="00593943"/>
    <w:rsid w:val="005A08A8"/>
    <w:rsid w:val="005B1250"/>
    <w:rsid w:val="005C33CE"/>
    <w:rsid w:val="006225D7"/>
    <w:rsid w:val="00633862"/>
    <w:rsid w:val="006379B7"/>
    <w:rsid w:val="006413B6"/>
    <w:rsid w:val="006910A7"/>
    <w:rsid w:val="00691310"/>
    <w:rsid w:val="006A7181"/>
    <w:rsid w:val="006C5BED"/>
    <w:rsid w:val="006D3947"/>
    <w:rsid w:val="00702D4A"/>
    <w:rsid w:val="007115C8"/>
    <w:rsid w:val="00713ADC"/>
    <w:rsid w:val="00725B9A"/>
    <w:rsid w:val="00754721"/>
    <w:rsid w:val="007713F8"/>
    <w:rsid w:val="007A7491"/>
    <w:rsid w:val="007A7874"/>
    <w:rsid w:val="00800784"/>
    <w:rsid w:val="00817432"/>
    <w:rsid w:val="008614D8"/>
    <w:rsid w:val="00875327"/>
    <w:rsid w:val="00886879"/>
    <w:rsid w:val="00890FC2"/>
    <w:rsid w:val="008E3F8A"/>
    <w:rsid w:val="00923468"/>
    <w:rsid w:val="00952782"/>
    <w:rsid w:val="0095580D"/>
    <w:rsid w:val="0097614B"/>
    <w:rsid w:val="00992D45"/>
    <w:rsid w:val="009A1625"/>
    <w:rsid w:val="009E5FF8"/>
    <w:rsid w:val="009F06F4"/>
    <w:rsid w:val="00A05135"/>
    <w:rsid w:val="00A43D21"/>
    <w:rsid w:val="00A55238"/>
    <w:rsid w:val="00AA5126"/>
    <w:rsid w:val="00AC4471"/>
    <w:rsid w:val="00AD16CD"/>
    <w:rsid w:val="00AF42EB"/>
    <w:rsid w:val="00B130FE"/>
    <w:rsid w:val="00B34A48"/>
    <w:rsid w:val="00B407C3"/>
    <w:rsid w:val="00B666A1"/>
    <w:rsid w:val="00BA1454"/>
    <w:rsid w:val="00C42609"/>
    <w:rsid w:val="00C4673D"/>
    <w:rsid w:val="00C76454"/>
    <w:rsid w:val="00C81F75"/>
    <w:rsid w:val="00CB1C9D"/>
    <w:rsid w:val="00CC7606"/>
    <w:rsid w:val="00CD2F35"/>
    <w:rsid w:val="00CE16E7"/>
    <w:rsid w:val="00CE61DB"/>
    <w:rsid w:val="00D26F3D"/>
    <w:rsid w:val="00D278CF"/>
    <w:rsid w:val="00D77626"/>
    <w:rsid w:val="00D81EE2"/>
    <w:rsid w:val="00DA67B8"/>
    <w:rsid w:val="00DB1085"/>
    <w:rsid w:val="00DD223C"/>
    <w:rsid w:val="00E213C7"/>
    <w:rsid w:val="00E41A31"/>
    <w:rsid w:val="00E7188B"/>
    <w:rsid w:val="00F006BD"/>
    <w:rsid w:val="00F17550"/>
    <w:rsid w:val="00F27120"/>
    <w:rsid w:val="00F341E0"/>
    <w:rsid w:val="00F36401"/>
    <w:rsid w:val="00F42445"/>
    <w:rsid w:val="00F44FCC"/>
    <w:rsid w:val="00F74974"/>
    <w:rsid w:val="00F829DE"/>
    <w:rsid w:val="00F84215"/>
    <w:rsid w:val="00F91CBB"/>
    <w:rsid w:val="05426AD8"/>
    <w:rsid w:val="05FA4415"/>
    <w:rsid w:val="0E9A5E97"/>
    <w:rsid w:val="15F20B82"/>
    <w:rsid w:val="19C42A73"/>
    <w:rsid w:val="1A361E4A"/>
    <w:rsid w:val="1BE22496"/>
    <w:rsid w:val="1EB60E4D"/>
    <w:rsid w:val="34E55713"/>
    <w:rsid w:val="3CCA39A9"/>
    <w:rsid w:val="45403431"/>
    <w:rsid w:val="48777D12"/>
    <w:rsid w:val="4B8F6090"/>
    <w:rsid w:val="529327A0"/>
    <w:rsid w:val="54184EF6"/>
    <w:rsid w:val="56025CFC"/>
    <w:rsid w:val="5AF03592"/>
    <w:rsid w:val="684A6297"/>
    <w:rsid w:val="6DB44A78"/>
    <w:rsid w:val="73395465"/>
    <w:rsid w:val="771C2C10"/>
    <w:rsid w:val="783E13AB"/>
    <w:rsid w:val="7DC2115B"/>
    <w:rsid w:val="7F977D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iPriority="39" w:semiHidden="0" w:name="toc 2"/>
    <w:lsdException w:qFormat="1" w:uiPriority="39" w:semiHidden="0" w:name="toc 3"/>
    <w:lsdException w:qFormat="1"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4"/>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8"/>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6">
    <w:name w:val="toc 3"/>
    <w:basedOn w:val="1"/>
    <w:next w:val="1"/>
    <w:unhideWhenUsed/>
    <w:qFormat/>
    <w:uiPriority w:val="39"/>
    <w:pPr>
      <w:ind w:left="840" w:leftChars="400"/>
    </w:pPr>
  </w:style>
  <w:style w:type="paragraph" w:styleId="7">
    <w:name w:val="footer"/>
    <w:basedOn w:val="1"/>
    <w:link w:val="19"/>
    <w:unhideWhenUsed/>
    <w:qFormat/>
    <w:uiPriority w:val="99"/>
    <w:pPr>
      <w:tabs>
        <w:tab w:val="center" w:pos="4153"/>
        <w:tab w:val="right" w:pos="8306"/>
      </w:tabs>
      <w:snapToGrid w:val="0"/>
      <w:jc w:val="left"/>
    </w:pPr>
    <w:rPr>
      <w:sz w:val="18"/>
      <w:szCs w:val="18"/>
    </w:rPr>
  </w:style>
  <w:style w:type="paragraph" w:styleId="8">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4"/>
    <w:basedOn w:val="1"/>
    <w:next w:val="1"/>
    <w:unhideWhenUsed/>
    <w:qFormat/>
    <w:uiPriority w:val="39"/>
    <w:pPr>
      <w:ind w:left="1260" w:leftChars="600"/>
    </w:pPr>
  </w:style>
  <w:style w:type="paragraph" w:styleId="10">
    <w:name w:val="Subtitle"/>
    <w:basedOn w:val="1"/>
    <w:next w:val="1"/>
    <w:link w:val="23"/>
    <w:qFormat/>
    <w:uiPriority w:val="11"/>
    <w:pPr>
      <w:spacing w:before="240" w:after="60" w:line="312" w:lineRule="auto"/>
      <w:jc w:val="center"/>
      <w:outlineLvl w:val="1"/>
    </w:pPr>
    <w:rPr>
      <w:b/>
      <w:bCs/>
      <w:kern w:val="28"/>
      <w:sz w:val="32"/>
      <w:szCs w:val="32"/>
    </w:rPr>
  </w:style>
  <w:style w:type="paragraph" w:styleId="11">
    <w:name w:val="toc 2"/>
    <w:basedOn w:val="1"/>
    <w:next w:val="1"/>
    <w:unhideWhenUsed/>
    <w:qFormat/>
    <w:uiPriority w:val="39"/>
    <w:pPr>
      <w:ind w:left="420" w:leftChars="200"/>
    </w:pPr>
  </w:style>
  <w:style w:type="paragraph" w:styleId="12">
    <w:name w:val="Normal (Web)"/>
    <w:basedOn w:val="1"/>
    <w:qFormat/>
    <w:uiPriority w:val="99"/>
    <w:pPr>
      <w:spacing w:before="100" w:beforeAutospacing="1" w:after="100" w:afterAutospacing="1"/>
      <w:jc w:val="left"/>
    </w:pPr>
    <w:rPr>
      <w:rFonts w:cs="Times New Roman"/>
      <w:sz w:val="24"/>
    </w:rPr>
  </w:style>
  <w:style w:type="paragraph" w:styleId="13">
    <w:name w:val="Title"/>
    <w:basedOn w:val="1"/>
    <w:next w:val="1"/>
    <w:link w:val="21"/>
    <w:qFormat/>
    <w:uiPriority w:val="10"/>
    <w:pPr>
      <w:spacing w:before="240" w:after="60"/>
      <w:jc w:val="center"/>
      <w:outlineLvl w:val="0"/>
    </w:pPr>
    <w:rPr>
      <w:rFonts w:asciiTheme="majorHAnsi" w:hAnsiTheme="majorHAnsi" w:eastAsiaTheme="majorEastAsia" w:cstheme="majorBidi"/>
      <w:b/>
      <w:bCs/>
      <w:sz w:val="32"/>
      <w:szCs w:val="32"/>
    </w:rPr>
  </w:style>
  <w:style w:type="character" w:styleId="16">
    <w:name w:val="Strong"/>
    <w:basedOn w:val="15"/>
    <w:qFormat/>
    <w:uiPriority w:val="0"/>
    <w:rPr>
      <w:b/>
      <w:bCs/>
    </w:rPr>
  </w:style>
  <w:style w:type="character" w:styleId="17">
    <w:name w:val="Hyperlink"/>
    <w:basedOn w:val="15"/>
    <w:unhideWhenUsed/>
    <w:qFormat/>
    <w:uiPriority w:val="99"/>
    <w:rPr>
      <w:color w:val="0000FF" w:themeColor="hyperlink"/>
      <w:u w:val="single"/>
      <w14:textFill>
        <w14:solidFill>
          <w14:schemeClr w14:val="hlink"/>
        </w14:solidFill>
      </w14:textFill>
    </w:rPr>
  </w:style>
  <w:style w:type="character" w:customStyle="1" w:styleId="18">
    <w:name w:val="页眉 字符"/>
    <w:basedOn w:val="15"/>
    <w:link w:val="8"/>
    <w:qFormat/>
    <w:uiPriority w:val="99"/>
    <w:rPr>
      <w:sz w:val="18"/>
      <w:szCs w:val="18"/>
    </w:rPr>
  </w:style>
  <w:style w:type="character" w:customStyle="1" w:styleId="19">
    <w:name w:val="页脚 字符"/>
    <w:basedOn w:val="15"/>
    <w:link w:val="7"/>
    <w:qFormat/>
    <w:uiPriority w:val="99"/>
    <w:rPr>
      <w:sz w:val="18"/>
      <w:szCs w:val="18"/>
    </w:rPr>
  </w:style>
  <w:style w:type="paragraph" w:styleId="20">
    <w:name w:val="List Paragraph"/>
    <w:basedOn w:val="1"/>
    <w:unhideWhenUsed/>
    <w:qFormat/>
    <w:uiPriority w:val="99"/>
    <w:pPr>
      <w:ind w:firstLine="420" w:firstLineChars="200"/>
    </w:pPr>
  </w:style>
  <w:style w:type="character" w:customStyle="1" w:styleId="21">
    <w:name w:val="标题 字符"/>
    <w:basedOn w:val="15"/>
    <w:link w:val="13"/>
    <w:qFormat/>
    <w:uiPriority w:val="10"/>
    <w:rPr>
      <w:rFonts w:asciiTheme="majorHAnsi" w:hAnsiTheme="majorHAnsi" w:eastAsiaTheme="majorEastAsia" w:cstheme="majorBidi"/>
      <w:b/>
      <w:bCs/>
      <w:sz w:val="32"/>
      <w:szCs w:val="32"/>
    </w:rPr>
  </w:style>
  <w:style w:type="character" w:customStyle="1" w:styleId="22">
    <w:name w:val="标题 2 字符"/>
    <w:basedOn w:val="15"/>
    <w:link w:val="3"/>
    <w:qFormat/>
    <w:uiPriority w:val="9"/>
    <w:rPr>
      <w:rFonts w:asciiTheme="majorHAnsi" w:hAnsiTheme="majorHAnsi" w:eastAsiaTheme="majorEastAsia" w:cstheme="majorBidi"/>
      <w:b/>
      <w:bCs/>
      <w:sz w:val="32"/>
      <w:szCs w:val="32"/>
    </w:rPr>
  </w:style>
  <w:style w:type="character" w:customStyle="1" w:styleId="23">
    <w:name w:val="副标题 字符"/>
    <w:basedOn w:val="15"/>
    <w:link w:val="10"/>
    <w:qFormat/>
    <w:uiPriority w:val="11"/>
    <w:rPr>
      <w:b/>
      <w:bCs/>
      <w:kern w:val="28"/>
      <w:sz w:val="32"/>
      <w:szCs w:val="32"/>
    </w:rPr>
  </w:style>
  <w:style w:type="character" w:customStyle="1" w:styleId="24">
    <w:name w:val="标题 3 字符"/>
    <w:basedOn w:val="15"/>
    <w:link w:val="4"/>
    <w:qFormat/>
    <w:uiPriority w:val="9"/>
    <w:rPr>
      <w:b/>
      <w:bCs/>
      <w:sz w:val="32"/>
      <w:szCs w:val="32"/>
    </w:rPr>
  </w:style>
  <w:style w:type="character" w:styleId="25">
    <w:name w:val="Placeholder Text"/>
    <w:basedOn w:val="15"/>
    <w:semiHidden/>
    <w:qFormat/>
    <w:uiPriority w:val="99"/>
    <w:rPr>
      <w:color w:val="808080"/>
    </w:rPr>
  </w:style>
  <w:style w:type="character" w:customStyle="1" w:styleId="26">
    <w:name w:val="标题 1 字符"/>
    <w:basedOn w:val="15"/>
    <w:link w:val="2"/>
    <w:qFormat/>
    <w:uiPriority w:val="9"/>
    <w:rPr>
      <w:b/>
      <w:bCs/>
      <w:kern w:val="44"/>
      <w:sz w:val="44"/>
      <w:szCs w:val="44"/>
    </w:rPr>
  </w:style>
  <w:style w:type="paragraph" w:customStyle="1" w:styleId="27">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character" w:customStyle="1" w:styleId="28">
    <w:name w:val="标题 4 字符"/>
    <w:basedOn w:val="15"/>
    <w:link w:val="5"/>
    <w:qFormat/>
    <w:uiPriority w:val="9"/>
    <w:rPr>
      <w:rFonts w:asciiTheme="majorHAnsi" w:hAnsiTheme="majorHAnsi" w:eastAsiaTheme="majorEastAsia" w:cstheme="majorBidi"/>
      <w:b/>
      <w:bCs/>
      <w:sz w:val="28"/>
      <w:szCs w:val="28"/>
    </w:rPr>
  </w:style>
  <w:style w:type="paragraph" w:customStyle="1" w:styleId="29">
    <w:name w:val="闻政-正文段落文字"/>
    <w:basedOn w:val="1"/>
    <w:qFormat/>
    <w:uiPriority w:val="3"/>
    <w:pPr>
      <w:spacing w:line="500" w:lineRule="exact"/>
      <w:ind w:firstLine="200"/>
    </w:pPr>
    <w:rPr>
      <w:rFonts w:ascii="Times New Roman" w:hAnsi="Times New Roman" w:cs="Times New Roman"/>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784F0B-0206-47D6-B558-695C9B4C7677}">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15</Pages>
  <Words>5705</Words>
  <Characters>6107</Characters>
  <Lines>72</Lines>
  <Paragraphs>20</Paragraphs>
  <TotalTime>1</TotalTime>
  <ScaleCrop>false</ScaleCrop>
  <LinksUpToDate>false</LinksUpToDate>
  <CharactersWithSpaces>6808</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2021-04-27T13:06:00Z</dcterms:created>
  <dc:creator>jc</dc:creator>
  <cp:lastModifiedBy>A.X</cp:lastModifiedBy>
  <dcterms:modified xsi:type="dcterms:W3CDTF">2022-05-27T03:56:18Z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4DE3F5EC15024391AECD2757462CE603</vt:lpwstr>
  </property>
  <property fmtid="{D5CDD505-2E9C-101B-9397-08002B2CF9AE}" pid="4" name="commondata">
    <vt:lpwstr>eyJoZGlkIjoiMjE2NjM2NjFiZmVmZjRmZmY0MTA4ZjViNGYxMWVkMWQifQ==</vt:lpwstr>
  </property>
</Properties>
</file>